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1D975" w14:textId="77777777" w:rsidR="001162D6" w:rsidRPr="00893AF2" w:rsidRDefault="001162D6">
      <w:pPr>
        <w:rPr>
          <w:rFonts w:ascii="Arial" w:hAnsi="Arial" w:cs="Arial"/>
        </w:rPr>
      </w:pPr>
    </w:p>
    <w:p w14:paraId="5380237C" w14:textId="77777777" w:rsidR="001162D6" w:rsidRPr="00893AF2" w:rsidRDefault="001162D6">
      <w:pPr>
        <w:rPr>
          <w:rFonts w:ascii="Arial" w:hAnsi="Arial" w:cs="Arial"/>
        </w:rPr>
      </w:pPr>
    </w:p>
    <w:p w14:paraId="75DE3EE9" w14:textId="77777777" w:rsidR="001162D6" w:rsidRPr="00893AF2" w:rsidRDefault="001162D6">
      <w:pPr>
        <w:rPr>
          <w:rFonts w:ascii="Arial" w:hAnsi="Arial" w:cs="Arial"/>
        </w:rPr>
      </w:pPr>
    </w:p>
    <w:p w14:paraId="6A205BF1" w14:textId="77777777" w:rsidR="001162D6" w:rsidRPr="00893AF2" w:rsidRDefault="001162D6">
      <w:pPr>
        <w:rPr>
          <w:rFonts w:ascii="Arial" w:hAnsi="Arial" w:cs="Arial"/>
        </w:rPr>
      </w:pPr>
    </w:p>
    <w:p w14:paraId="76740A95" w14:textId="77777777" w:rsidR="001162D6" w:rsidRPr="00893AF2" w:rsidRDefault="001162D6">
      <w:pPr>
        <w:rPr>
          <w:rFonts w:ascii="Arial" w:hAnsi="Arial" w:cs="Arial"/>
        </w:rPr>
      </w:pPr>
    </w:p>
    <w:p w14:paraId="5CC6F4C2" w14:textId="77777777" w:rsidR="001162D6" w:rsidRPr="00893AF2" w:rsidRDefault="00000000">
      <w:pPr>
        <w:pStyle w:val="CustomTitle"/>
        <w:rPr>
          <w:rFonts w:ascii="Arial" w:hAnsi="Arial" w:cs="Arial"/>
        </w:rPr>
      </w:pPr>
      <w:r w:rsidRPr="00893AF2">
        <w:rPr>
          <w:rFonts w:ascii="Arial" w:hAnsi="Arial" w:cs="Arial"/>
        </w:rPr>
        <w:t>The Appropriateness of Current Governance Structures in Olympic Sport Organisations: Navigating the Tension Between Agency Theory and Stewardship Theory</w:t>
      </w:r>
    </w:p>
    <w:p w14:paraId="57A88F6A" w14:textId="77777777" w:rsidR="001162D6" w:rsidRPr="00893AF2" w:rsidRDefault="001162D6">
      <w:pPr>
        <w:rPr>
          <w:rFonts w:ascii="Arial" w:hAnsi="Arial" w:cs="Arial"/>
        </w:rPr>
      </w:pPr>
    </w:p>
    <w:p w14:paraId="7892C6A5" w14:textId="77777777" w:rsidR="001162D6" w:rsidRPr="00893AF2" w:rsidRDefault="00000000">
      <w:pPr>
        <w:jc w:val="center"/>
        <w:rPr>
          <w:rFonts w:ascii="Arial" w:hAnsi="Arial" w:cs="Arial"/>
        </w:rPr>
      </w:pPr>
      <w:r w:rsidRPr="00893AF2">
        <w:rPr>
          <w:rFonts w:ascii="Arial" w:hAnsi="Arial" w:cs="Arial"/>
        </w:rPr>
        <w:t>Brian Minikin</w:t>
      </w:r>
    </w:p>
    <w:p w14:paraId="31DBB2C9" w14:textId="77777777" w:rsidR="001162D6" w:rsidRPr="00893AF2" w:rsidRDefault="00000000">
      <w:pPr>
        <w:jc w:val="center"/>
        <w:rPr>
          <w:rFonts w:ascii="Arial" w:hAnsi="Arial" w:cs="Arial"/>
        </w:rPr>
      </w:pPr>
      <w:r w:rsidRPr="00893AF2">
        <w:rPr>
          <w:rFonts w:ascii="Arial" w:hAnsi="Arial" w:cs="Arial"/>
        </w:rPr>
        <w:t>Independent Researcher</w:t>
      </w:r>
    </w:p>
    <w:p w14:paraId="546692D3" w14:textId="77777777" w:rsidR="001162D6" w:rsidRPr="00893AF2" w:rsidRDefault="00000000">
      <w:pPr>
        <w:jc w:val="center"/>
        <w:rPr>
          <w:rFonts w:ascii="Arial" w:hAnsi="Arial" w:cs="Arial"/>
        </w:rPr>
      </w:pPr>
      <w:r w:rsidRPr="00893AF2">
        <w:rPr>
          <w:rFonts w:ascii="Arial" w:hAnsi="Arial" w:cs="Arial"/>
        </w:rPr>
        <w:t>20 April 2026</w:t>
      </w:r>
    </w:p>
    <w:p w14:paraId="7E1B7F44" w14:textId="77777777" w:rsidR="001162D6" w:rsidRPr="00893AF2" w:rsidRDefault="00000000">
      <w:pPr>
        <w:rPr>
          <w:rFonts w:ascii="Arial" w:hAnsi="Arial" w:cs="Arial"/>
        </w:rPr>
      </w:pPr>
      <w:r w:rsidRPr="00893AF2">
        <w:rPr>
          <w:rFonts w:ascii="Arial" w:hAnsi="Arial" w:cs="Arial"/>
        </w:rPr>
        <w:br w:type="page"/>
      </w:r>
    </w:p>
    <w:p w14:paraId="7FEE5301" w14:textId="77777777" w:rsidR="001162D6" w:rsidRPr="00893AF2" w:rsidRDefault="00000000">
      <w:pPr>
        <w:pStyle w:val="APAHeading1"/>
        <w:rPr>
          <w:rFonts w:ascii="Arial" w:hAnsi="Arial" w:cs="Arial"/>
        </w:rPr>
      </w:pPr>
      <w:r w:rsidRPr="00893AF2">
        <w:rPr>
          <w:rFonts w:ascii="Arial" w:hAnsi="Arial" w:cs="Arial"/>
        </w:rPr>
        <w:lastRenderedPageBreak/>
        <w:t>Abstract</w:t>
      </w:r>
    </w:p>
    <w:p w14:paraId="74F33E94" w14:textId="77777777" w:rsidR="001162D6" w:rsidRPr="00893AF2" w:rsidRDefault="00000000">
      <w:pPr>
        <w:rPr>
          <w:rFonts w:ascii="Arial" w:hAnsi="Arial" w:cs="Arial"/>
        </w:rPr>
      </w:pPr>
      <w:r w:rsidRPr="00893AF2">
        <w:rPr>
          <w:rFonts w:ascii="Arial" w:hAnsi="Arial" w:cs="Arial"/>
        </w:rPr>
        <w:t>The governance of Olympic sport organisations is shaped by persistent tensions between accountability, strategic leadership, ethical conduct, and stakeholder legitimacy. This paper evaluates the appropriateness of current governance structures in Olympic sport organisations through the competing lenses of Agency Theory and Stewardship Theory. Agency Theory explains why monitoring, transparency, role clarity, and sanctions are needed in organisational settings characterised by delegated authority, information asymmetry, and the risk of opportunism. Stewardship Theory, by contrast, emphasises trust, mission commitment, intrinsic motivation, and the value of empowering leaders to act in the organisation’s long-term interests. The paper argues that Olympic sport organisations are poorly served by a rigid adherence to either framework in isolation. Because these organisations are member-based, mission-driven, politically exposed, and embedded within a multi-stakeholder Olympic system, their governance challenges are hybrid rather than binary. Drawing on governance scholarship, official Olympic documents, and national and international case material, the paper contends that current governance structures are appropriate only when they combine agency-style safeguards with stewardship-oriented leadership and culture. The strongest model for Olympic sport governance is therefore one of accountable stewardship: a model that embeds constitutional controls, transparency, ethics, and athlete representation while still enabling strategic judgement, trust, and long-term mission alignment.</w:t>
      </w:r>
    </w:p>
    <w:p w14:paraId="32B49F4A" w14:textId="77777777" w:rsidR="001162D6" w:rsidRPr="00893AF2" w:rsidRDefault="00000000">
      <w:pPr>
        <w:rPr>
          <w:rFonts w:ascii="Arial" w:hAnsi="Arial" w:cs="Arial"/>
        </w:rPr>
      </w:pPr>
      <w:r w:rsidRPr="00893AF2">
        <w:rPr>
          <w:rFonts w:ascii="Arial" w:hAnsi="Arial" w:cs="Arial"/>
          <w:i/>
        </w:rPr>
        <w:t xml:space="preserve">Keywords: </w:t>
      </w:r>
      <w:r w:rsidRPr="00893AF2">
        <w:rPr>
          <w:rFonts w:ascii="Arial" w:hAnsi="Arial" w:cs="Arial"/>
        </w:rPr>
        <w:t>Olympic sport organisations, governance, agency theory, stewardship theory, Olympic Agenda 2020, National Olympic Committees</w:t>
      </w:r>
    </w:p>
    <w:p w14:paraId="564FA689" w14:textId="77777777" w:rsidR="001162D6" w:rsidRPr="00893AF2" w:rsidRDefault="00000000">
      <w:pPr>
        <w:rPr>
          <w:rFonts w:ascii="Arial" w:hAnsi="Arial" w:cs="Arial"/>
        </w:rPr>
      </w:pPr>
      <w:r w:rsidRPr="00893AF2">
        <w:rPr>
          <w:rFonts w:ascii="Arial" w:hAnsi="Arial" w:cs="Arial"/>
        </w:rPr>
        <w:br w:type="page"/>
      </w:r>
    </w:p>
    <w:p w14:paraId="48B4A8A4" w14:textId="77777777" w:rsidR="001162D6" w:rsidRPr="00893AF2" w:rsidRDefault="00000000">
      <w:pPr>
        <w:pStyle w:val="CustomTitle"/>
        <w:rPr>
          <w:rFonts w:ascii="Arial" w:hAnsi="Arial" w:cs="Arial"/>
        </w:rPr>
      </w:pPr>
      <w:r w:rsidRPr="00893AF2">
        <w:rPr>
          <w:rFonts w:ascii="Arial" w:hAnsi="Arial" w:cs="Arial"/>
        </w:rPr>
        <w:lastRenderedPageBreak/>
        <w:t>The Appropriateness of Current Governance Structures in Olympic Sport Organisations: Navigating the Tension Between Agency Theory and Stewardship Theory</w:t>
      </w:r>
    </w:p>
    <w:p w14:paraId="55B6715F" w14:textId="3726D9FC" w:rsidR="001162D6" w:rsidRPr="00893AF2" w:rsidRDefault="00000000" w:rsidP="00893AF2">
      <w:pPr>
        <w:rPr>
          <w:rFonts w:ascii="Arial" w:hAnsi="Arial" w:cs="Arial"/>
        </w:rPr>
      </w:pPr>
      <w:r w:rsidRPr="00893AF2">
        <w:rPr>
          <w:rFonts w:ascii="Arial" w:hAnsi="Arial" w:cs="Arial"/>
        </w:rPr>
        <w:t>Governance is central to the legitimacy and effectiveness of Olympic sport</w:t>
      </w:r>
      <w:r w:rsidR="00893AF2">
        <w:rPr>
          <w:rFonts w:ascii="Arial" w:hAnsi="Arial" w:cs="Arial"/>
        </w:rPr>
        <w:t xml:space="preserve"> </w:t>
      </w:r>
      <w:r w:rsidRPr="00893AF2">
        <w:rPr>
          <w:rFonts w:ascii="Arial" w:hAnsi="Arial" w:cs="Arial"/>
        </w:rPr>
        <w:t xml:space="preserve">organisations (OSOs). In these organisations, governance is not simply a technical administrative matter. It shapes the allocation of resources, the protection of athlete interests, the integrity of competition, the management of public and commercial trust, and the credibility of decision-making. The challenge is intensified by the nature of the Olympic system itself. </w:t>
      </w:r>
      <w:r w:rsidR="00893AF2">
        <w:rPr>
          <w:rFonts w:ascii="Arial" w:hAnsi="Arial" w:cs="Arial"/>
        </w:rPr>
        <w:t>OSOs</w:t>
      </w:r>
      <w:r w:rsidRPr="00893AF2">
        <w:rPr>
          <w:rFonts w:ascii="Arial" w:hAnsi="Arial" w:cs="Arial"/>
        </w:rPr>
        <w:t xml:space="preserve"> are rarely simple hierarchical entities. They are typically member-based, normatively driven, often dependent on both paid and voluntary leadership, and exposed to multiple constituencies including athletes, member federations, sponsors, governments, supporters, and the wider public (Chappelet, 2023; Geeraert, Alm, &amp; Groll, 2014).</w:t>
      </w:r>
    </w:p>
    <w:p w14:paraId="68D72565" w14:textId="77777777" w:rsidR="00893AF2" w:rsidRDefault="00893AF2" w:rsidP="00893AF2">
      <w:pPr>
        <w:rPr>
          <w:rFonts w:ascii="Arial" w:hAnsi="Arial" w:cs="Arial"/>
        </w:rPr>
      </w:pPr>
    </w:p>
    <w:p w14:paraId="53282287" w14:textId="41C15ACB" w:rsidR="001162D6" w:rsidRPr="00893AF2" w:rsidRDefault="00000000" w:rsidP="00893AF2">
      <w:pPr>
        <w:rPr>
          <w:rFonts w:ascii="Arial" w:hAnsi="Arial" w:cs="Arial"/>
        </w:rPr>
      </w:pPr>
      <w:r w:rsidRPr="00893AF2">
        <w:rPr>
          <w:rFonts w:ascii="Arial" w:hAnsi="Arial" w:cs="Arial"/>
        </w:rPr>
        <w:t xml:space="preserve">This complexity raises an important question: are the current governance structures of </w:t>
      </w:r>
      <w:r w:rsidR="00893AF2">
        <w:rPr>
          <w:rFonts w:ascii="Arial" w:hAnsi="Arial" w:cs="Arial"/>
        </w:rPr>
        <w:t>OSOs</w:t>
      </w:r>
      <w:r w:rsidRPr="00893AF2">
        <w:rPr>
          <w:rFonts w:ascii="Arial" w:hAnsi="Arial" w:cs="Arial"/>
        </w:rPr>
        <w:t xml:space="preserve"> appropriate for the realities they face? This paper argues that the answer depends on the theoretical lens applied. Agency Theory and Stewardship Theory offer contrasting assumptions about human behaviour, organisational control, and the purpose of governance. Agency Theory assumes that leaders may pursue their own interests unless monitored and constrained, whereas Stewardship Theory assumes that leaders can be trusted to act as custodians of organisational purpose when institutional conditions support commitment and responsibility (Donaldson &amp; Davis, 1991; Eisenhardt, 1989; Jensen &amp; Meckling, 1976).</w:t>
      </w:r>
    </w:p>
    <w:p w14:paraId="6EB6AC01" w14:textId="77777777" w:rsidR="00893AF2" w:rsidRDefault="00893AF2" w:rsidP="00893AF2">
      <w:pPr>
        <w:rPr>
          <w:rFonts w:ascii="Arial" w:hAnsi="Arial" w:cs="Arial"/>
        </w:rPr>
      </w:pPr>
    </w:p>
    <w:p w14:paraId="45C166CA" w14:textId="01F95150" w:rsidR="001162D6" w:rsidRPr="00893AF2" w:rsidRDefault="00000000" w:rsidP="00893AF2">
      <w:pPr>
        <w:rPr>
          <w:rFonts w:ascii="Arial" w:hAnsi="Arial" w:cs="Arial"/>
        </w:rPr>
      </w:pPr>
      <w:r w:rsidRPr="00893AF2">
        <w:rPr>
          <w:rFonts w:ascii="Arial" w:hAnsi="Arial" w:cs="Arial"/>
        </w:rPr>
        <w:lastRenderedPageBreak/>
        <w:t xml:space="preserve">The core argument advanced here is that current governance structures in </w:t>
      </w:r>
      <w:r w:rsidR="00893AF2">
        <w:rPr>
          <w:rFonts w:ascii="Arial" w:hAnsi="Arial" w:cs="Arial"/>
        </w:rPr>
        <w:t>OSOs</w:t>
      </w:r>
      <w:r w:rsidRPr="00893AF2">
        <w:rPr>
          <w:rFonts w:ascii="Arial" w:hAnsi="Arial" w:cs="Arial"/>
        </w:rPr>
        <w:t xml:space="preserve"> are only partially appropriate when they rely too heavily on either formal control or informal trust. They are most effective when they combine agency-based safeguards against abuse with stewardship-based conditions that encourage ethical leadership, strategic judgement, and </w:t>
      </w:r>
      <w:r w:rsidR="00893AF2">
        <w:rPr>
          <w:rFonts w:ascii="Arial" w:hAnsi="Arial" w:cs="Arial"/>
        </w:rPr>
        <w:t>alignment with the OSOs strategic plan</w:t>
      </w:r>
      <w:r w:rsidRPr="00893AF2">
        <w:rPr>
          <w:rFonts w:ascii="Arial" w:hAnsi="Arial" w:cs="Arial"/>
        </w:rPr>
        <w:t xml:space="preserve">. The issue, therefore, is not whether </w:t>
      </w:r>
      <w:r w:rsidR="00893AF2">
        <w:rPr>
          <w:rFonts w:ascii="Arial" w:hAnsi="Arial" w:cs="Arial"/>
        </w:rPr>
        <w:t>OSOs</w:t>
      </w:r>
      <w:r w:rsidRPr="00893AF2">
        <w:rPr>
          <w:rFonts w:ascii="Arial" w:hAnsi="Arial" w:cs="Arial"/>
        </w:rPr>
        <w:t xml:space="preserve"> should choose between control and trust, but how they should institutionalise both in a credible and balanced way.</w:t>
      </w:r>
    </w:p>
    <w:p w14:paraId="2817DC35" w14:textId="77777777" w:rsidR="00893AF2" w:rsidRDefault="00893AF2" w:rsidP="00893AF2">
      <w:pPr>
        <w:pStyle w:val="APAHeading1"/>
        <w:jc w:val="left"/>
        <w:rPr>
          <w:rFonts w:ascii="Arial" w:hAnsi="Arial" w:cs="Arial"/>
        </w:rPr>
      </w:pPr>
    </w:p>
    <w:p w14:paraId="279133BE" w14:textId="54B1124C" w:rsidR="001162D6" w:rsidRPr="00893AF2" w:rsidRDefault="00000000" w:rsidP="00893AF2">
      <w:pPr>
        <w:pStyle w:val="APAHeading1"/>
        <w:jc w:val="left"/>
        <w:rPr>
          <w:rFonts w:ascii="Arial" w:hAnsi="Arial" w:cs="Arial"/>
        </w:rPr>
      </w:pPr>
      <w:r w:rsidRPr="00893AF2">
        <w:rPr>
          <w:rFonts w:ascii="Arial" w:hAnsi="Arial" w:cs="Arial"/>
        </w:rPr>
        <w:t>Agency Theory and the Governance Logic of Control</w:t>
      </w:r>
    </w:p>
    <w:p w14:paraId="087ACA22" w14:textId="77777777" w:rsidR="001162D6" w:rsidRPr="00893AF2" w:rsidRDefault="00000000" w:rsidP="00893AF2">
      <w:pPr>
        <w:rPr>
          <w:rFonts w:ascii="Arial" w:hAnsi="Arial" w:cs="Arial"/>
        </w:rPr>
      </w:pPr>
      <w:r w:rsidRPr="00893AF2">
        <w:rPr>
          <w:rFonts w:ascii="Arial" w:hAnsi="Arial" w:cs="Arial"/>
        </w:rPr>
        <w:t>Agency Theory begins from the premise that principals and agents may have divergent interests. In its classic formulation, the theory addresses the risks that arise when those who own, govern, or are represented by an organisation delegate authority to others to act on their behalf (Jensen &amp; Meckling, 1976). Because agents may possess more information than principals and may act opportunistically, governance structures are required to reduce agency costs through monitoring, reporting, incentives, and sanctions. Eisenhardt (1989) further explains that agency problems become particularly acute where information asymmetry, uncertainty, and risk make it difficult for principals to observe behaviour directly.</w:t>
      </w:r>
    </w:p>
    <w:p w14:paraId="69A9201D" w14:textId="35C62DCA" w:rsidR="001162D6" w:rsidRPr="00893AF2" w:rsidRDefault="00000000">
      <w:pPr>
        <w:ind w:firstLine="720"/>
        <w:rPr>
          <w:rFonts w:ascii="Arial" w:hAnsi="Arial" w:cs="Arial"/>
        </w:rPr>
      </w:pPr>
      <w:r w:rsidRPr="00893AF2">
        <w:rPr>
          <w:rFonts w:ascii="Arial" w:hAnsi="Arial" w:cs="Arial"/>
        </w:rPr>
        <w:t xml:space="preserve">Applied to </w:t>
      </w:r>
      <w:r w:rsidR="00893AF2">
        <w:rPr>
          <w:rFonts w:ascii="Arial" w:hAnsi="Arial" w:cs="Arial"/>
        </w:rPr>
        <w:t>OSOs</w:t>
      </w:r>
      <w:r w:rsidRPr="00893AF2">
        <w:rPr>
          <w:rFonts w:ascii="Arial" w:hAnsi="Arial" w:cs="Arial"/>
        </w:rPr>
        <w:t xml:space="preserve">, Agency Theory remains highly relevant. Even if the corporate language of “owners” and “managers” does not map neatly onto member-based sport bodies, the underlying problem of delegated authority clearly does. Boards, presidents, executives, commissions, and senior managers exercise authority over funds, selection systems, strategic priorities, integrity processes, and stakeholder relationships. Where oversight is weak, the conditions exist for self-dealing, political capture, opaque decision-making, corruption, or symbolic </w:t>
      </w:r>
      <w:r w:rsidRPr="00893AF2">
        <w:rPr>
          <w:rFonts w:ascii="Arial" w:hAnsi="Arial" w:cs="Arial"/>
        </w:rPr>
        <w:lastRenderedPageBreak/>
        <w:t>compliance.</w:t>
      </w:r>
      <w:r w:rsidR="00893AF2">
        <w:rPr>
          <w:rFonts w:ascii="Arial" w:hAnsi="Arial" w:cs="Arial"/>
        </w:rPr>
        <w:t xml:space="preserve"> </w:t>
      </w:r>
      <w:proofErr w:type="gramStart"/>
      <w:r w:rsidR="00893AF2">
        <w:rPr>
          <w:rFonts w:ascii="Arial" w:hAnsi="Arial" w:cs="Arial"/>
        </w:rPr>
        <w:t>All of</w:t>
      </w:r>
      <w:proofErr w:type="gramEnd"/>
      <w:r w:rsidR="00893AF2">
        <w:rPr>
          <w:rFonts w:ascii="Arial" w:hAnsi="Arial" w:cs="Arial"/>
        </w:rPr>
        <w:t xml:space="preserve"> these things have been well documented throughout the sport management literature and highlighted by high profile examples of corrupt practices within the IOC and at FIFA.</w:t>
      </w:r>
      <w:r w:rsidR="00E17B5A">
        <w:rPr>
          <w:rFonts w:ascii="Arial" w:hAnsi="Arial" w:cs="Arial"/>
        </w:rPr>
        <w:t xml:space="preserve"> (Dichter, 2016; Jennings, 2011).</w:t>
      </w:r>
      <w:r w:rsidRPr="00893AF2">
        <w:rPr>
          <w:rFonts w:ascii="Arial" w:hAnsi="Arial" w:cs="Arial"/>
        </w:rPr>
        <w:t xml:space="preserve"> For that reason, constitutional rules, independent audits, ethics procedures, conflict-of-interest declarations, and transparent reporting structures remain essential governance devices in the sport sector (Geeraert et al., 2014).</w:t>
      </w:r>
    </w:p>
    <w:p w14:paraId="7AA4DA74" w14:textId="77777777" w:rsidR="00AE3C63" w:rsidRDefault="00AE3C63" w:rsidP="00AE3C63">
      <w:pPr>
        <w:rPr>
          <w:rFonts w:ascii="Arial" w:hAnsi="Arial" w:cs="Arial"/>
        </w:rPr>
      </w:pPr>
    </w:p>
    <w:p w14:paraId="1841E75B" w14:textId="7FF26EF4" w:rsidR="001162D6" w:rsidRPr="00893AF2" w:rsidRDefault="00000000" w:rsidP="00AE3C63">
      <w:pPr>
        <w:rPr>
          <w:rFonts w:ascii="Arial" w:hAnsi="Arial" w:cs="Arial"/>
        </w:rPr>
      </w:pPr>
      <w:r w:rsidRPr="00893AF2">
        <w:rPr>
          <w:rFonts w:ascii="Arial" w:hAnsi="Arial" w:cs="Arial"/>
        </w:rPr>
        <w:t xml:space="preserve">Agency Theory is especially persuasive in settings where prestige, access, and discretionary authority accompany governance positions. </w:t>
      </w:r>
      <w:r w:rsidR="00AE3C63">
        <w:rPr>
          <w:rFonts w:ascii="Arial" w:hAnsi="Arial" w:cs="Arial"/>
        </w:rPr>
        <w:t>OSOs</w:t>
      </w:r>
      <w:r w:rsidRPr="00893AF2">
        <w:rPr>
          <w:rFonts w:ascii="Arial" w:hAnsi="Arial" w:cs="Arial"/>
        </w:rPr>
        <w:t xml:space="preserve"> often control access to pathways, events, international networks, and public legitimacy. Such conditions can make leadership roles attractive not only for service, but also for personal power, influence, and reputational gain. In this respect, agency theory helps explain why governance reform in sport repeatedly returns to the themes of transparency, accountability, and institutional checks. A governance system that simply assumes virtue may expose athletes and member bodies to substantial risk.</w:t>
      </w:r>
    </w:p>
    <w:p w14:paraId="6CF221A9" w14:textId="77777777" w:rsidR="00AE3C63" w:rsidRDefault="00AE3C63" w:rsidP="00AE3C63">
      <w:pPr>
        <w:rPr>
          <w:rFonts w:ascii="Arial" w:hAnsi="Arial" w:cs="Arial"/>
        </w:rPr>
      </w:pPr>
    </w:p>
    <w:p w14:paraId="33555A56" w14:textId="43BAB658" w:rsidR="001162D6" w:rsidRPr="00893AF2" w:rsidRDefault="00000000" w:rsidP="00AE3C63">
      <w:pPr>
        <w:rPr>
          <w:rFonts w:ascii="Arial" w:hAnsi="Arial" w:cs="Arial"/>
        </w:rPr>
      </w:pPr>
      <w:r w:rsidRPr="00893AF2">
        <w:rPr>
          <w:rFonts w:ascii="Arial" w:hAnsi="Arial" w:cs="Arial"/>
        </w:rPr>
        <w:t>At the same time, Agency Theory has limitations when applied mechanically to Olympic sport. Many OSOs do not have a single identifiable principal. Their “principals” may include members, athletes, national federations, international federations, Olympic committees, sponsors, governments, and the public. In smaller or less professionalised organisations, the same individuals may simultaneously govern, manage, and deliver operational work. This blurring of roles complicates simplistic principal-agent assumptions and suggests that orthodox corporate governance cannot be transferred to Olympic sport without adaptation (Hoye &amp; Cuskelly, 2007).</w:t>
      </w:r>
    </w:p>
    <w:p w14:paraId="6C776BA2" w14:textId="77777777" w:rsidR="001162D6" w:rsidRPr="00893AF2" w:rsidRDefault="00000000" w:rsidP="00AE3C63">
      <w:pPr>
        <w:pStyle w:val="APAHeading1"/>
        <w:jc w:val="left"/>
        <w:rPr>
          <w:rFonts w:ascii="Arial" w:hAnsi="Arial" w:cs="Arial"/>
        </w:rPr>
      </w:pPr>
      <w:r w:rsidRPr="00893AF2">
        <w:rPr>
          <w:rFonts w:ascii="Arial" w:hAnsi="Arial" w:cs="Arial"/>
        </w:rPr>
        <w:lastRenderedPageBreak/>
        <w:t>Stewardship Theory and the Governance Logic of Trust</w:t>
      </w:r>
    </w:p>
    <w:p w14:paraId="3C691040" w14:textId="77777777" w:rsidR="001162D6" w:rsidRPr="00893AF2" w:rsidRDefault="00000000" w:rsidP="00AE3C63">
      <w:pPr>
        <w:rPr>
          <w:rFonts w:ascii="Arial" w:hAnsi="Arial" w:cs="Arial"/>
        </w:rPr>
      </w:pPr>
      <w:r w:rsidRPr="00893AF2">
        <w:rPr>
          <w:rFonts w:ascii="Arial" w:hAnsi="Arial" w:cs="Arial"/>
        </w:rPr>
        <w:t>Stewardship Theory offers a contrasting account of governance. Rather than assuming that organisational actors are naturally self-serving, it argues that many leaders are motivated by duty, identification with the organisation, and the intrinsic satisfaction of contributing to a valued mission (Donaldson &amp; Davis, 1991). In this model, governance should not focus exclusively on constraining opportunism. It should also create conditions in which capable and committed leaders can exercise responsibility, initiative, and strategic judgement on behalf of the organisation.</w:t>
      </w:r>
    </w:p>
    <w:p w14:paraId="133CB65F" w14:textId="77777777" w:rsidR="00AE3C63" w:rsidRDefault="00AE3C63" w:rsidP="00AE3C63">
      <w:pPr>
        <w:rPr>
          <w:rFonts w:ascii="Arial" w:hAnsi="Arial" w:cs="Arial"/>
        </w:rPr>
      </w:pPr>
    </w:p>
    <w:p w14:paraId="25A13E65" w14:textId="20024C7A" w:rsidR="001162D6" w:rsidRPr="00893AF2" w:rsidRDefault="00000000" w:rsidP="00AE3C63">
      <w:pPr>
        <w:rPr>
          <w:rFonts w:ascii="Arial" w:hAnsi="Arial" w:cs="Arial"/>
        </w:rPr>
      </w:pPr>
      <w:r w:rsidRPr="00893AF2">
        <w:rPr>
          <w:rFonts w:ascii="Arial" w:hAnsi="Arial" w:cs="Arial"/>
        </w:rPr>
        <w:t>This perspective resonates strongly with the realities of Olympic sport. Many board members and leaders in sport organisations are drawn to governance because of long-term commitment to athletes, sport development, national representation, or the symbolic ideals of Olympism. Especially in volunteer-heavy and member-based settings, governance often depends on trust, shared values, and a belief that those in office are serving something larger than themselves. A purely suspicious or compliance-driven governance model may therefore undermine the very motivations that sustain high-quality leadership in the sector.</w:t>
      </w:r>
    </w:p>
    <w:p w14:paraId="29E61B70" w14:textId="77777777" w:rsidR="00AE3C63" w:rsidRDefault="00AE3C63" w:rsidP="00AE3C63">
      <w:pPr>
        <w:rPr>
          <w:rFonts w:ascii="Arial" w:hAnsi="Arial" w:cs="Arial"/>
        </w:rPr>
      </w:pPr>
    </w:p>
    <w:p w14:paraId="35E365AF" w14:textId="1B2D0A05" w:rsidR="001162D6" w:rsidRPr="00893AF2" w:rsidRDefault="00000000" w:rsidP="00AE3C63">
      <w:pPr>
        <w:rPr>
          <w:rFonts w:ascii="Arial" w:hAnsi="Arial" w:cs="Arial"/>
        </w:rPr>
      </w:pPr>
      <w:r w:rsidRPr="00893AF2">
        <w:rPr>
          <w:rFonts w:ascii="Arial" w:hAnsi="Arial" w:cs="Arial"/>
        </w:rPr>
        <w:t xml:space="preserve">Research on sport governance supports this broader view of the board’s role. Ferkins and Shilbury (2012) argue that effective sport boards require strategic capability rather than merely formal authority. Ferkins and Shilbury (2015) extend this argument by proposing the idea of “board strategic balance,” showing that sport governance requires equilibrium across accountability, representation, policy, and strategy. Likewise, Shilbury and Ferkins (2011) link the professionalisation of sport governance to the need for boards to balance compliance and strategic leadership </w:t>
      </w:r>
      <w:r w:rsidRPr="00893AF2">
        <w:rPr>
          <w:rFonts w:ascii="Arial" w:hAnsi="Arial" w:cs="Arial"/>
        </w:rPr>
        <w:lastRenderedPageBreak/>
        <w:t>rather than over-identifying with either one. These insights fit well with Stewardship Theory because they treat governance as an enabling function as well as a controlling one.</w:t>
      </w:r>
    </w:p>
    <w:p w14:paraId="45B68ECB" w14:textId="77777777" w:rsidR="00AE3C63" w:rsidRDefault="00AE3C63" w:rsidP="00AE3C63">
      <w:pPr>
        <w:rPr>
          <w:rFonts w:ascii="Arial" w:hAnsi="Arial" w:cs="Arial"/>
        </w:rPr>
      </w:pPr>
    </w:p>
    <w:p w14:paraId="6FC0BEDE" w14:textId="5D84D854" w:rsidR="001162D6" w:rsidRPr="00893AF2" w:rsidRDefault="00000000" w:rsidP="00AE3C63">
      <w:pPr>
        <w:rPr>
          <w:rFonts w:ascii="Arial" w:hAnsi="Arial" w:cs="Arial"/>
        </w:rPr>
      </w:pPr>
      <w:r w:rsidRPr="00893AF2">
        <w:rPr>
          <w:rFonts w:ascii="Arial" w:hAnsi="Arial" w:cs="Arial"/>
        </w:rPr>
        <w:t>Nevertheless, Stewardship Theory becomes weak when trust is assumed rather than earned, or when values rhetoric</w:t>
      </w:r>
      <w:r w:rsidR="00AE3C63">
        <w:rPr>
          <w:rFonts w:ascii="Arial" w:hAnsi="Arial" w:cs="Arial"/>
        </w:rPr>
        <w:t>,</w:t>
      </w:r>
      <w:r w:rsidRPr="00893AF2">
        <w:rPr>
          <w:rFonts w:ascii="Arial" w:hAnsi="Arial" w:cs="Arial"/>
        </w:rPr>
        <w:t xml:space="preserve"> substitutes for scrutiny. In sport, cultures of loyalty, tradition, and solidarity can sometimes shield poor governance rather than strengthen it. Stewardship is therefore normatively attractive, but only when it is supported by institutions that prevent </w:t>
      </w:r>
      <w:r w:rsidR="00AE3C63">
        <w:rPr>
          <w:rFonts w:ascii="Arial" w:hAnsi="Arial" w:cs="Arial"/>
        </w:rPr>
        <w:t xml:space="preserve">the concentration of power to one or a few </w:t>
      </w:r>
      <w:proofErr w:type="gramStart"/>
      <w:r w:rsidR="00AE3C63">
        <w:rPr>
          <w:rFonts w:ascii="Arial" w:hAnsi="Arial" w:cs="Arial"/>
        </w:rPr>
        <w:t>individu</w:t>
      </w:r>
      <w:r w:rsidR="003668D8">
        <w:rPr>
          <w:rFonts w:ascii="Arial" w:hAnsi="Arial" w:cs="Arial"/>
        </w:rPr>
        <w:t>a</w:t>
      </w:r>
      <w:r w:rsidR="00AE3C63">
        <w:rPr>
          <w:rFonts w:ascii="Arial" w:hAnsi="Arial" w:cs="Arial"/>
        </w:rPr>
        <w:t>l</w:t>
      </w:r>
      <w:r w:rsidR="00E0309B">
        <w:rPr>
          <w:rFonts w:ascii="Arial" w:hAnsi="Arial" w:cs="Arial"/>
        </w:rPr>
        <w:t xml:space="preserve">  </w:t>
      </w:r>
      <w:r w:rsidR="00AE3C63">
        <w:rPr>
          <w:rFonts w:ascii="Arial" w:hAnsi="Arial" w:cs="Arial"/>
        </w:rPr>
        <w:t>s</w:t>
      </w:r>
      <w:proofErr w:type="gramEnd"/>
      <w:r w:rsidRPr="00893AF2">
        <w:rPr>
          <w:rFonts w:ascii="Arial" w:hAnsi="Arial" w:cs="Arial"/>
        </w:rPr>
        <w:t>, unmanaged conflicts of interest, and the erosion of accountability.</w:t>
      </w:r>
    </w:p>
    <w:p w14:paraId="180558AB" w14:textId="77777777" w:rsidR="00AE3C63" w:rsidRDefault="00AE3C63" w:rsidP="00AE3C63">
      <w:pPr>
        <w:pStyle w:val="APAHeading1"/>
        <w:jc w:val="left"/>
        <w:rPr>
          <w:rFonts w:ascii="Arial" w:hAnsi="Arial" w:cs="Arial"/>
        </w:rPr>
      </w:pPr>
    </w:p>
    <w:p w14:paraId="506731C0" w14:textId="18C9FD41" w:rsidR="001162D6" w:rsidRPr="00893AF2" w:rsidRDefault="00000000" w:rsidP="00AE3C63">
      <w:pPr>
        <w:pStyle w:val="APAHeading1"/>
        <w:jc w:val="left"/>
        <w:rPr>
          <w:rFonts w:ascii="Arial" w:hAnsi="Arial" w:cs="Arial"/>
        </w:rPr>
      </w:pPr>
      <w:r w:rsidRPr="00893AF2">
        <w:rPr>
          <w:rFonts w:ascii="Arial" w:hAnsi="Arial" w:cs="Arial"/>
        </w:rPr>
        <w:t>The Olympic System as a Multi-Stakeholder Governance Environment</w:t>
      </w:r>
    </w:p>
    <w:p w14:paraId="21EC6A32" w14:textId="5C0115A5" w:rsidR="001162D6" w:rsidRPr="00893AF2" w:rsidRDefault="00000000" w:rsidP="00AE3C63">
      <w:pPr>
        <w:rPr>
          <w:rFonts w:ascii="Arial" w:hAnsi="Arial" w:cs="Arial"/>
        </w:rPr>
      </w:pPr>
      <w:r w:rsidRPr="00893AF2">
        <w:rPr>
          <w:rFonts w:ascii="Arial" w:hAnsi="Arial" w:cs="Arial"/>
        </w:rPr>
        <w:t xml:space="preserve">The governance problem in Olympic sport cannot be understood apart from the structure of the Olympic system itself. Chappelet (2023) argues that the Olympic system has evolved from a relatively simple arrangement into one involving many stakeholders and increasingly complex interdependencies. This matters because it helps explain why governance in Olympic sport is inherently more complicated than governance in conventional corporations. </w:t>
      </w:r>
      <w:r w:rsidR="00AE3C63">
        <w:rPr>
          <w:rFonts w:ascii="Arial" w:hAnsi="Arial" w:cs="Arial"/>
        </w:rPr>
        <w:t xml:space="preserve">OSOs </w:t>
      </w:r>
      <w:r w:rsidRPr="00893AF2">
        <w:rPr>
          <w:rFonts w:ascii="Arial" w:hAnsi="Arial" w:cs="Arial"/>
        </w:rPr>
        <w:t>operate within a layered institutional system that includes the International Olympic Committee (IOC), International Federations, National Olympic Committees (NOCs), continental bodies, national federations, athletes, event organisers, governments, sponsors, and broadcasters. Each</w:t>
      </w:r>
      <w:r w:rsidR="00AE3C63">
        <w:rPr>
          <w:rFonts w:ascii="Arial" w:hAnsi="Arial" w:cs="Arial"/>
        </w:rPr>
        <w:t xml:space="preserve"> of these essential stakeholders</w:t>
      </w:r>
      <w:r w:rsidRPr="00893AF2">
        <w:rPr>
          <w:rFonts w:ascii="Arial" w:hAnsi="Arial" w:cs="Arial"/>
        </w:rPr>
        <w:t xml:space="preserve"> may hold legitimate but sometimes competing expectations.</w:t>
      </w:r>
    </w:p>
    <w:p w14:paraId="40BE45AA" w14:textId="77777777" w:rsidR="00AE3C63" w:rsidRDefault="00AE3C63" w:rsidP="00AE3C63">
      <w:pPr>
        <w:rPr>
          <w:rFonts w:ascii="Arial" w:hAnsi="Arial" w:cs="Arial"/>
        </w:rPr>
      </w:pPr>
    </w:p>
    <w:p w14:paraId="05B2B2AB" w14:textId="30A839CD" w:rsidR="001162D6" w:rsidRPr="00893AF2" w:rsidRDefault="00000000" w:rsidP="00AE3C63">
      <w:pPr>
        <w:rPr>
          <w:rFonts w:ascii="Arial" w:hAnsi="Arial" w:cs="Arial"/>
        </w:rPr>
      </w:pPr>
      <w:r w:rsidRPr="00893AF2">
        <w:rPr>
          <w:rFonts w:ascii="Arial" w:hAnsi="Arial" w:cs="Arial"/>
        </w:rPr>
        <w:lastRenderedPageBreak/>
        <w:t>The Olympic Charter provides the constitutional framework for this system and identifies the mission and role of NOCs within the Olympic Movement (International Olympic Committee [IOC], 2025). Yet formal constitutional recognition does not by itself guarantee good governance. The self-regulatory tradition of sport has often been defended in the name of autonomy, but autonomy without robust internal standards can protect entrenched interests just as easily as it protects legitimate independence (Geeraert et al., 2014).</w:t>
      </w:r>
    </w:p>
    <w:p w14:paraId="0A8B350C" w14:textId="77777777" w:rsidR="00AE3C63" w:rsidRDefault="00AE3C63" w:rsidP="00AE3C63">
      <w:pPr>
        <w:rPr>
          <w:rFonts w:ascii="Arial" w:hAnsi="Arial" w:cs="Arial"/>
        </w:rPr>
      </w:pPr>
    </w:p>
    <w:p w14:paraId="337D0DEF" w14:textId="7FFC3BB3" w:rsidR="001162D6" w:rsidRPr="00893AF2" w:rsidRDefault="00000000" w:rsidP="00AE3C63">
      <w:pPr>
        <w:rPr>
          <w:rFonts w:ascii="Arial" w:hAnsi="Arial" w:cs="Arial"/>
        </w:rPr>
      </w:pPr>
      <w:r w:rsidRPr="00893AF2">
        <w:rPr>
          <w:rFonts w:ascii="Arial" w:hAnsi="Arial" w:cs="Arial"/>
        </w:rPr>
        <w:t>This is the setting in which Olympic governance reform has gained importance. Olympic Agenda 2020 and Olympic Agenda 2020+5 represent the IOC’s efforts to strengthen legitimacy, transparency, sustainability, and stakeholder engagement across the Olympic Movement (IOC, 2015, 2021). These reform frameworks are significant not because they eliminate governance failure, but because they acknowledge that governance quality is central to institutional credibility. The reform agenda therefore reflects an important shift: governance is no longer peripheral to Olympic administration, but central to how the Olympic Movement understands and defends its public legitimacy.</w:t>
      </w:r>
    </w:p>
    <w:p w14:paraId="2DB02F50" w14:textId="77777777" w:rsidR="00AE3C63" w:rsidRDefault="00AE3C63" w:rsidP="00AE3C63">
      <w:pPr>
        <w:pStyle w:val="APAHeading1"/>
        <w:jc w:val="left"/>
        <w:rPr>
          <w:rFonts w:ascii="Arial" w:hAnsi="Arial" w:cs="Arial"/>
        </w:rPr>
      </w:pPr>
    </w:p>
    <w:p w14:paraId="5F8C4C0F" w14:textId="197EB9F2" w:rsidR="001162D6" w:rsidRPr="00893AF2" w:rsidRDefault="00000000" w:rsidP="00AE3C63">
      <w:pPr>
        <w:pStyle w:val="APAHeading1"/>
        <w:jc w:val="left"/>
        <w:rPr>
          <w:rFonts w:ascii="Arial" w:hAnsi="Arial" w:cs="Arial"/>
        </w:rPr>
      </w:pPr>
      <w:r w:rsidRPr="00893AF2">
        <w:rPr>
          <w:rFonts w:ascii="Arial" w:hAnsi="Arial" w:cs="Arial"/>
        </w:rPr>
        <w:t>Why a Hybrid Governance Model is More Appropriate</w:t>
      </w:r>
    </w:p>
    <w:p w14:paraId="244ECB2B" w14:textId="06A14B0E" w:rsidR="001162D6" w:rsidRPr="00893AF2" w:rsidRDefault="00000000" w:rsidP="00AE3C63">
      <w:pPr>
        <w:rPr>
          <w:rFonts w:ascii="Arial" w:hAnsi="Arial" w:cs="Arial"/>
        </w:rPr>
      </w:pPr>
      <w:r w:rsidRPr="00893AF2">
        <w:rPr>
          <w:rFonts w:ascii="Arial" w:hAnsi="Arial" w:cs="Arial"/>
        </w:rPr>
        <w:t xml:space="preserve">The most defensible conclusion is that current governance structures in </w:t>
      </w:r>
      <w:r w:rsidR="00BE55F8">
        <w:rPr>
          <w:rFonts w:ascii="Arial" w:hAnsi="Arial" w:cs="Arial"/>
        </w:rPr>
        <w:t xml:space="preserve">OSOs </w:t>
      </w:r>
      <w:r w:rsidRPr="00893AF2">
        <w:rPr>
          <w:rFonts w:ascii="Arial" w:hAnsi="Arial" w:cs="Arial"/>
        </w:rPr>
        <w:t xml:space="preserve">are appropriate only when they operate as hybrid systems. </w:t>
      </w:r>
      <w:r w:rsidR="00BE55F8">
        <w:rPr>
          <w:rFonts w:ascii="Arial" w:hAnsi="Arial" w:cs="Arial"/>
        </w:rPr>
        <w:t>OSOs</w:t>
      </w:r>
      <w:r w:rsidRPr="00893AF2">
        <w:rPr>
          <w:rFonts w:ascii="Arial" w:hAnsi="Arial" w:cs="Arial"/>
        </w:rPr>
        <w:t xml:space="preserve"> need agency controls because the risks they face are real. Sport governance has repeatedly shown that informal trust alone cannot prevent corruption, manipulation, financial misuse, or organisational abuse. Governance structures therefore require constitutions, voting rules, term limits, conflict-of-interest declarations, audit systems, ethics procedures, </w:t>
      </w:r>
      <w:r w:rsidRPr="00893AF2">
        <w:rPr>
          <w:rFonts w:ascii="Arial" w:hAnsi="Arial" w:cs="Arial"/>
        </w:rPr>
        <w:lastRenderedPageBreak/>
        <w:t>transparent reporting, and enforceable sanctions (Geeraert, 2018; Geeraert et al., 2014).</w:t>
      </w:r>
    </w:p>
    <w:p w14:paraId="7DD503CA" w14:textId="546B0868" w:rsidR="001162D6" w:rsidRPr="00893AF2" w:rsidRDefault="00BE55F8" w:rsidP="00BE55F8">
      <w:pPr>
        <w:rPr>
          <w:rFonts w:ascii="Arial" w:hAnsi="Arial" w:cs="Arial"/>
        </w:rPr>
      </w:pPr>
      <w:r>
        <w:rPr>
          <w:rFonts w:ascii="Arial" w:hAnsi="Arial" w:cs="Arial"/>
        </w:rPr>
        <w:t>However,</w:t>
      </w:r>
      <w:r w:rsidR="00000000" w:rsidRPr="00893AF2">
        <w:rPr>
          <w:rFonts w:ascii="Arial" w:hAnsi="Arial" w:cs="Arial"/>
        </w:rPr>
        <w:t xml:space="preserve"> those same structures become less appropriate when they are treated as ends in themselves. Overly legalistic or bureaucratic governance can hollow out leadership, create defensive cultures, and reduce boards to compliance bodies rather than strategic stewards. In mission-driven settings such as</w:t>
      </w:r>
      <w:r>
        <w:rPr>
          <w:rFonts w:ascii="Arial" w:hAnsi="Arial" w:cs="Arial"/>
        </w:rPr>
        <w:t xml:space="preserve"> occurs in</w:t>
      </w:r>
      <w:r w:rsidR="00000000" w:rsidRPr="00893AF2">
        <w:rPr>
          <w:rFonts w:ascii="Arial" w:hAnsi="Arial" w:cs="Arial"/>
        </w:rPr>
        <w:t xml:space="preserve"> Olympic sport, this </w:t>
      </w:r>
      <w:r>
        <w:rPr>
          <w:rFonts w:ascii="Arial" w:hAnsi="Arial" w:cs="Arial"/>
        </w:rPr>
        <w:t>may be</w:t>
      </w:r>
      <w:r w:rsidR="00000000" w:rsidRPr="00893AF2">
        <w:rPr>
          <w:rFonts w:ascii="Arial" w:hAnsi="Arial" w:cs="Arial"/>
        </w:rPr>
        <w:t xml:space="preserve"> especially damaging. Good governance must not only prevent abuse; it must also enable leadership, long-term planning, athlete-centred decision-making, and the ethical advancement of sport. Cornforth’s (2004) paradox perspective is useful here because it suggests that governance often involves balancing competing logics rather than selecting one correct model once and for all.</w:t>
      </w:r>
    </w:p>
    <w:p w14:paraId="19299367" w14:textId="77777777" w:rsidR="00791087" w:rsidRDefault="00791087" w:rsidP="00791087">
      <w:pPr>
        <w:rPr>
          <w:rFonts w:ascii="Arial" w:hAnsi="Arial" w:cs="Arial"/>
        </w:rPr>
      </w:pPr>
    </w:p>
    <w:p w14:paraId="6FFF4E0C" w14:textId="5732CFC2" w:rsidR="001162D6" w:rsidRPr="00893AF2" w:rsidRDefault="00000000" w:rsidP="00791087">
      <w:pPr>
        <w:rPr>
          <w:rFonts w:ascii="Arial" w:hAnsi="Arial" w:cs="Arial"/>
        </w:rPr>
      </w:pPr>
      <w:r w:rsidRPr="00893AF2">
        <w:rPr>
          <w:rFonts w:ascii="Arial" w:hAnsi="Arial" w:cs="Arial"/>
        </w:rPr>
        <w:t xml:space="preserve">A hybrid approach is also supported by the sport governance literature. Hoye and Cuskelly (2007) show that the governance of sport organisations is shaped by distinctive structural and cultural conditions that make one-dimensional governance prescriptions inadequate. Ferkins and Shilbury (2015) similarly imply that effective boards do not choose between accountability and strategy; rather, they seek a dynamic balance between them. For </w:t>
      </w:r>
      <w:r w:rsidR="00791087">
        <w:rPr>
          <w:rFonts w:ascii="Arial" w:hAnsi="Arial" w:cs="Arial"/>
        </w:rPr>
        <w:t>OSOs</w:t>
      </w:r>
      <w:r w:rsidRPr="00893AF2">
        <w:rPr>
          <w:rFonts w:ascii="Arial" w:hAnsi="Arial" w:cs="Arial"/>
        </w:rPr>
        <w:t>, that balance can be described as accountable stewardship</w:t>
      </w:r>
      <w:r w:rsidR="00791087">
        <w:rPr>
          <w:rFonts w:ascii="Arial" w:hAnsi="Arial" w:cs="Arial"/>
        </w:rPr>
        <w:t xml:space="preserve"> or in other words,</w:t>
      </w:r>
      <w:r w:rsidRPr="00893AF2">
        <w:rPr>
          <w:rFonts w:ascii="Arial" w:hAnsi="Arial" w:cs="Arial"/>
        </w:rPr>
        <w:t xml:space="preserve"> trusted leadership that is institutionally supported, but never left unscrutinised.</w:t>
      </w:r>
    </w:p>
    <w:p w14:paraId="1D4CB583" w14:textId="77777777" w:rsidR="00791087" w:rsidRDefault="00791087" w:rsidP="00791087">
      <w:pPr>
        <w:rPr>
          <w:rFonts w:ascii="Arial" w:hAnsi="Arial" w:cs="Arial"/>
        </w:rPr>
      </w:pPr>
    </w:p>
    <w:p w14:paraId="30621154" w14:textId="46EAA8EA" w:rsidR="001162D6" w:rsidRPr="00893AF2" w:rsidRDefault="00000000" w:rsidP="00791087">
      <w:pPr>
        <w:rPr>
          <w:rFonts w:ascii="Arial" w:hAnsi="Arial" w:cs="Arial"/>
        </w:rPr>
      </w:pPr>
      <w:r w:rsidRPr="00893AF2">
        <w:rPr>
          <w:rFonts w:ascii="Arial" w:hAnsi="Arial" w:cs="Arial"/>
        </w:rPr>
        <w:t xml:space="preserve">In practical terms, an accountable stewardship model involves at least five conditions. First, roles must be constitutionally clear, especially between boards, executives, and management. Second, accountability mechanisms must be real rather than symbolic. Third, athlete voice must be institutionally embedded rather </w:t>
      </w:r>
      <w:r w:rsidRPr="00893AF2">
        <w:rPr>
          <w:rFonts w:ascii="Arial" w:hAnsi="Arial" w:cs="Arial"/>
        </w:rPr>
        <w:lastRenderedPageBreak/>
        <w:t>than treated as consultati</w:t>
      </w:r>
      <w:r w:rsidR="00791087">
        <w:rPr>
          <w:rFonts w:ascii="Arial" w:hAnsi="Arial" w:cs="Arial"/>
        </w:rPr>
        <w:t>ve</w:t>
      </w:r>
      <w:r w:rsidRPr="00893AF2">
        <w:rPr>
          <w:rFonts w:ascii="Arial" w:hAnsi="Arial" w:cs="Arial"/>
        </w:rPr>
        <w:t xml:space="preserve"> theatre. Fourth, boards must retain strategic capability, not merely fiduciary obligations. Fifth, governance culture must align with values of service, fairness, and integrity rather than prestige, patronage, or personal entitlement.</w:t>
      </w:r>
      <w:r w:rsidR="00791087">
        <w:rPr>
          <w:rFonts w:ascii="Arial" w:hAnsi="Arial" w:cs="Arial"/>
        </w:rPr>
        <w:t xml:space="preserve"> Overriding these features is a commitment to keep the organization free from takeover by specific individuals of groups and maintain the idealistic view that the organization comes first.</w:t>
      </w:r>
    </w:p>
    <w:p w14:paraId="5CF61C3C" w14:textId="77777777" w:rsidR="00791087" w:rsidRDefault="00791087" w:rsidP="00791087">
      <w:pPr>
        <w:pStyle w:val="APAHeading1"/>
        <w:jc w:val="left"/>
        <w:rPr>
          <w:rFonts w:ascii="Arial" w:hAnsi="Arial" w:cs="Arial"/>
        </w:rPr>
      </w:pPr>
    </w:p>
    <w:p w14:paraId="3D3F9DCE" w14:textId="335EF552" w:rsidR="001162D6" w:rsidRDefault="00000000" w:rsidP="00791087">
      <w:pPr>
        <w:pStyle w:val="APAHeading1"/>
        <w:jc w:val="left"/>
        <w:rPr>
          <w:rFonts w:ascii="Arial" w:hAnsi="Arial" w:cs="Arial"/>
        </w:rPr>
      </w:pPr>
      <w:r w:rsidRPr="00893AF2">
        <w:rPr>
          <w:rFonts w:ascii="Arial" w:hAnsi="Arial" w:cs="Arial"/>
        </w:rPr>
        <w:t>Illustrative Cases from the Olympic Environment</w:t>
      </w:r>
    </w:p>
    <w:p w14:paraId="31CF58A1" w14:textId="4B077D63" w:rsidR="00F65EEB" w:rsidRPr="00F65EEB" w:rsidRDefault="00F65EEB" w:rsidP="00791087">
      <w:pPr>
        <w:pStyle w:val="APAHeading1"/>
        <w:jc w:val="left"/>
        <w:rPr>
          <w:rFonts w:ascii="Arial" w:hAnsi="Arial" w:cs="Arial"/>
          <w:b w:val="0"/>
          <w:bCs/>
        </w:rPr>
      </w:pPr>
      <w:r w:rsidRPr="00F65EEB">
        <w:rPr>
          <w:rFonts w:ascii="Arial" w:hAnsi="Arial" w:cs="Arial"/>
          <w:b w:val="0"/>
          <w:bCs/>
        </w:rPr>
        <w:t xml:space="preserve">Long tenure in key leadership positions has been a recurring feature of international sport organisations; for example, Havelange served 24 years as FIFA president, while Rubén Acosta remained in charge of the FIVB from 1984 to 2008 (Richau, Emrich, &amp; </w:t>
      </w:r>
      <w:proofErr w:type="spellStart"/>
      <w:r w:rsidRPr="00F65EEB">
        <w:rPr>
          <w:rFonts w:ascii="Arial" w:hAnsi="Arial" w:cs="Arial"/>
          <w:b w:val="0"/>
          <w:bCs/>
        </w:rPr>
        <w:t>Follert</w:t>
      </w:r>
      <w:proofErr w:type="spellEnd"/>
      <w:r w:rsidRPr="00F65EEB">
        <w:rPr>
          <w:rFonts w:ascii="Arial" w:hAnsi="Arial" w:cs="Arial"/>
          <w:b w:val="0"/>
          <w:bCs/>
        </w:rPr>
        <w:t xml:space="preserve">, 2019; </w:t>
      </w:r>
      <w:proofErr w:type="spellStart"/>
      <w:r w:rsidRPr="00F65EEB">
        <w:rPr>
          <w:rFonts w:ascii="Arial" w:hAnsi="Arial" w:cs="Arial"/>
          <w:b w:val="0"/>
          <w:bCs/>
        </w:rPr>
        <w:t>Geerart</w:t>
      </w:r>
      <w:proofErr w:type="spellEnd"/>
      <w:r w:rsidRPr="00F65EEB">
        <w:rPr>
          <w:rFonts w:ascii="Arial" w:hAnsi="Arial" w:cs="Arial"/>
          <w:b w:val="0"/>
          <w:bCs/>
        </w:rPr>
        <w:t>, 2015).</w:t>
      </w:r>
      <w:r>
        <w:rPr>
          <w:rFonts w:ascii="Arial" w:hAnsi="Arial" w:cs="Arial"/>
          <w:b w:val="0"/>
          <w:bCs/>
        </w:rPr>
        <w:t xml:space="preserve"> There are many examples with the situation often reinforced by the provision of life membership recognition and rewards for long service. Such </w:t>
      </w:r>
      <w:proofErr w:type="gramStart"/>
      <w:r>
        <w:rPr>
          <w:rFonts w:ascii="Arial" w:hAnsi="Arial" w:cs="Arial"/>
          <w:b w:val="0"/>
          <w:bCs/>
        </w:rPr>
        <w:t>achievements</w:t>
      </w:r>
      <w:proofErr w:type="gramEnd"/>
      <w:r>
        <w:rPr>
          <w:rFonts w:ascii="Arial" w:hAnsi="Arial" w:cs="Arial"/>
          <w:b w:val="0"/>
          <w:bCs/>
        </w:rPr>
        <w:t xml:space="preserve"> while laudable </w:t>
      </w:r>
      <w:proofErr w:type="gramStart"/>
      <w:r>
        <w:rPr>
          <w:rFonts w:ascii="Arial" w:hAnsi="Arial" w:cs="Arial"/>
          <w:b w:val="0"/>
          <w:bCs/>
        </w:rPr>
        <w:t>for</w:t>
      </w:r>
      <w:proofErr w:type="gramEnd"/>
      <w:r>
        <w:rPr>
          <w:rFonts w:ascii="Arial" w:hAnsi="Arial" w:cs="Arial"/>
          <w:b w:val="0"/>
          <w:bCs/>
        </w:rPr>
        <w:t xml:space="preserve"> a personal </w:t>
      </w:r>
      <w:proofErr w:type="gramStart"/>
      <w:r>
        <w:rPr>
          <w:rFonts w:ascii="Arial" w:hAnsi="Arial" w:cs="Arial"/>
          <w:b w:val="0"/>
          <w:bCs/>
        </w:rPr>
        <w:t>perspective</w:t>
      </w:r>
      <w:proofErr w:type="gramEnd"/>
      <w:r>
        <w:rPr>
          <w:rFonts w:ascii="Arial" w:hAnsi="Arial" w:cs="Arial"/>
          <w:b w:val="0"/>
          <w:bCs/>
        </w:rPr>
        <w:t xml:space="preserve"> may </w:t>
      </w:r>
      <w:proofErr w:type="gramStart"/>
      <w:r>
        <w:rPr>
          <w:rFonts w:ascii="Arial" w:hAnsi="Arial" w:cs="Arial"/>
          <w:b w:val="0"/>
          <w:bCs/>
        </w:rPr>
        <w:t>actually be</w:t>
      </w:r>
      <w:proofErr w:type="gramEnd"/>
      <w:r>
        <w:rPr>
          <w:rFonts w:ascii="Arial" w:hAnsi="Arial" w:cs="Arial"/>
          <w:b w:val="0"/>
          <w:bCs/>
        </w:rPr>
        <w:t xml:space="preserve"> a symptom of organisations being too dependent upon individuals who have been granted too much power and for too long.</w:t>
      </w:r>
    </w:p>
    <w:p w14:paraId="457DB011" w14:textId="77777777" w:rsidR="00F65EEB" w:rsidRDefault="00F65EEB" w:rsidP="00791087">
      <w:pPr>
        <w:rPr>
          <w:rFonts w:ascii="Arial" w:hAnsi="Arial" w:cs="Arial"/>
        </w:rPr>
      </w:pPr>
    </w:p>
    <w:p w14:paraId="4C95BCF4" w14:textId="796226F6" w:rsidR="001162D6" w:rsidRPr="00893AF2" w:rsidRDefault="00000000" w:rsidP="00791087">
      <w:pPr>
        <w:rPr>
          <w:rFonts w:ascii="Arial" w:hAnsi="Arial" w:cs="Arial"/>
        </w:rPr>
      </w:pPr>
      <w:r w:rsidRPr="00893AF2">
        <w:rPr>
          <w:rFonts w:ascii="Arial" w:hAnsi="Arial" w:cs="Arial"/>
        </w:rPr>
        <w:t xml:space="preserve">The IOC itself provides a useful example of a hybrid turn in governance. Its reform trajectory, particularly through Olympic Agenda 2020 and Olympic Agenda 2020+5, emphasises transparency, sustainability, stakeholder engagement, and organisational adaptation (IOC, 2015, 2021). The IOC’s Code of Ethics and the work of the Ethics Commission demonstrate an agency-style recognition that ethics cannot be left entirely to goodwill (IOC, n.d.-a, n.d.-b). At the same time, the reform agenda is framed in stewardship terms, emphasising mission, values, solidarity, and the long-term credibility of the Olympic Movement. The significance of this dual </w:t>
      </w:r>
      <w:r w:rsidRPr="00893AF2">
        <w:rPr>
          <w:rFonts w:ascii="Arial" w:hAnsi="Arial" w:cs="Arial"/>
        </w:rPr>
        <w:lastRenderedPageBreak/>
        <w:t>approach is that legitimacy now requires both institutional control and values-based leadership.</w:t>
      </w:r>
    </w:p>
    <w:p w14:paraId="4672D888" w14:textId="77777777" w:rsidR="00791087" w:rsidRDefault="00791087" w:rsidP="00791087">
      <w:pPr>
        <w:rPr>
          <w:rFonts w:ascii="Arial" w:hAnsi="Arial" w:cs="Arial"/>
        </w:rPr>
      </w:pPr>
    </w:p>
    <w:p w14:paraId="277EC3AB" w14:textId="68A614A4" w:rsidR="001162D6" w:rsidRPr="00893AF2" w:rsidRDefault="00000000" w:rsidP="00791087">
      <w:pPr>
        <w:rPr>
          <w:rFonts w:ascii="Arial" w:hAnsi="Arial" w:cs="Arial"/>
        </w:rPr>
      </w:pPr>
      <w:r w:rsidRPr="00893AF2">
        <w:rPr>
          <w:rFonts w:ascii="Arial" w:hAnsi="Arial" w:cs="Arial"/>
        </w:rPr>
        <w:t>The Australian Olympic Committee (AOC) offers a national example of formalised accountable stewardship. The AOC Constitution sets out organisational objectives, governance structures, and rules relating to duties, conflicts of interest, and athlete representation. Its governance architecture includes an Athletes’ Commission and formal mechanisms designed to protect the organisation’s integrity and independence (Australian Olympic Committee Incorporated, 2019). The 2023 AOC Annual Report also presents the organisation as strongly athlete-focused and transparent in its financial and strategic communication (Australian Olympic Committee, 2024). These features do not prove that the AOC is a perfect governance model, but they do illustrate how stewardship values can be embedded within formal institutional controls rather than left to culture alone.</w:t>
      </w:r>
    </w:p>
    <w:p w14:paraId="2446C3D0" w14:textId="77777777" w:rsidR="00791087" w:rsidRDefault="00791087" w:rsidP="00791087">
      <w:pPr>
        <w:rPr>
          <w:rFonts w:ascii="Arial" w:hAnsi="Arial" w:cs="Arial"/>
        </w:rPr>
      </w:pPr>
    </w:p>
    <w:p w14:paraId="45254798" w14:textId="3EE9A409" w:rsidR="001162D6" w:rsidRPr="00893AF2" w:rsidRDefault="00000000" w:rsidP="00791087">
      <w:pPr>
        <w:rPr>
          <w:rFonts w:ascii="Arial" w:hAnsi="Arial" w:cs="Arial"/>
        </w:rPr>
      </w:pPr>
      <w:r w:rsidRPr="00893AF2">
        <w:rPr>
          <w:rFonts w:ascii="Arial" w:hAnsi="Arial" w:cs="Arial"/>
        </w:rPr>
        <w:t>A similarly instructive case is the Norwegian Olympic and Paralympic Committee and Confederation of Sports (NIF). Its international strategy explicitly commits Norwegian sport to a more democratic, open, and transparent international sports movement and states a zero-tolerance position on corruption. The strategy also supports control mechanisms, transparency around irregularities, whistleblowing processes, and minimum gender representation on boards (Norwegian Olympic and Paralympic Committee and Confederation of Sports, 2021). This is a strong illustration of structured stewardship: values-led governance translated into formal expectations and accountability tools.</w:t>
      </w:r>
    </w:p>
    <w:p w14:paraId="38305AAB" w14:textId="77777777" w:rsidR="00791087" w:rsidRDefault="00791087" w:rsidP="00791087">
      <w:pPr>
        <w:rPr>
          <w:rFonts w:ascii="Arial" w:hAnsi="Arial" w:cs="Arial"/>
        </w:rPr>
      </w:pPr>
    </w:p>
    <w:p w14:paraId="42386F34" w14:textId="49D2D489" w:rsidR="001162D6" w:rsidRPr="00893AF2" w:rsidRDefault="00000000" w:rsidP="00791087">
      <w:pPr>
        <w:rPr>
          <w:rFonts w:ascii="Arial" w:hAnsi="Arial" w:cs="Arial"/>
        </w:rPr>
      </w:pPr>
      <w:r w:rsidRPr="00893AF2">
        <w:rPr>
          <w:rFonts w:ascii="Arial" w:hAnsi="Arial" w:cs="Arial"/>
        </w:rPr>
        <w:lastRenderedPageBreak/>
        <w:t>By contrast, the governance failures associated with Russian Olympic sport and Team Kenya illustrate why stewardship cannot substitute for oversight. The McLaren Report documented a centralised doping and anti-detection scheme in Russia, demonstrating the scale of institutional failure that can occur where systems lack effective independence, monitoring, and ethical accountability (McLaren, 2016). Likewise, the Kenyan parliamentary inquiry into the Rio 2016 Olympic Games drew attention to serious concerns about mismanagement and weak stewardship of Team Kenya’s resources and administration (Kenya National Assembly, 2016). These cases are important because they show that the rhetoric of service to athletes or national pride is not enough. In high-stakes sport systems, constitutional controls and independent scrutiny remain indispensable.</w:t>
      </w:r>
    </w:p>
    <w:p w14:paraId="26141C53" w14:textId="77777777" w:rsidR="00791087" w:rsidRDefault="00791087" w:rsidP="00791087">
      <w:pPr>
        <w:pStyle w:val="APAHeading1"/>
        <w:jc w:val="left"/>
        <w:rPr>
          <w:rFonts w:ascii="Arial" w:hAnsi="Arial" w:cs="Arial"/>
        </w:rPr>
      </w:pPr>
    </w:p>
    <w:p w14:paraId="0A0F07B1" w14:textId="3213363A" w:rsidR="001162D6" w:rsidRPr="00893AF2" w:rsidRDefault="00000000" w:rsidP="00791087">
      <w:pPr>
        <w:pStyle w:val="APAHeading1"/>
        <w:jc w:val="left"/>
        <w:rPr>
          <w:rFonts w:ascii="Arial" w:hAnsi="Arial" w:cs="Arial"/>
        </w:rPr>
      </w:pPr>
      <w:r w:rsidRPr="00893AF2">
        <w:rPr>
          <w:rFonts w:ascii="Arial" w:hAnsi="Arial" w:cs="Arial"/>
        </w:rPr>
        <w:t>Conclusion</w:t>
      </w:r>
    </w:p>
    <w:p w14:paraId="7DA6D70E" w14:textId="77777777" w:rsidR="001162D6" w:rsidRPr="00893AF2" w:rsidRDefault="00000000" w:rsidP="00791087">
      <w:pPr>
        <w:rPr>
          <w:rFonts w:ascii="Arial" w:hAnsi="Arial" w:cs="Arial"/>
        </w:rPr>
      </w:pPr>
      <w:r w:rsidRPr="00893AF2">
        <w:rPr>
          <w:rFonts w:ascii="Arial" w:hAnsi="Arial" w:cs="Arial"/>
        </w:rPr>
        <w:t>Current governance structures in Olympic sport organisations are not wholly inappropriate, but neither are they sufficient when treated as static or purely formal arrangements. The central mistake is to frame Olympic sport governance as a choice between mistrust and trust, between rules and values, or between compliance and leadership. That framing is too simplistic for the realities of the Olympic system.</w:t>
      </w:r>
    </w:p>
    <w:p w14:paraId="527E332F" w14:textId="77777777" w:rsidR="00791087" w:rsidRDefault="00791087" w:rsidP="00791087">
      <w:pPr>
        <w:rPr>
          <w:rFonts w:ascii="Arial" w:hAnsi="Arial" w:cs="Arial"/>
        </w:rPr>
      </w:pPr>
    </w:p>
    <w:p w14:paraId="0495386A" w14:textId="3C0ECBCF" w:rsidR="001162D6" w:rsidRPr="00893AF2" w:rsidRDefault="00000000" w:rsidP="00791087">
      <w:pPr>
        <w:rPr>
          <w:rFonts w:ascii="Arial" w:hAnsi="Arial" w:cs="Arial"/>
        </w:rPr>
      </w:pPr>
      <w:r w:rsidRPr="00893AF2">
        <w:rPr>
          <w:rFonts w:ascii="Arial" w:hAnsi="Arial" w:cs="Arial"/>
        </w:rPr>
        <w:t xml:space="preserve">Agency Theory remains indispensable because </w:t>
      </w:r>
      <w:r w:rsidR="00791087">
        <w:rPr>
          <w:rFonts w:ascii="Arial" w:hAnsi="Arial" w:cs="Arial"/>
        </w:rPr>
        <w:t>OSOs</w:t>
      </w:r>
      <w:r w:rsidRPr="00893AF2">
        <w:rPr>
          <w:rFonts w:ascii="Arial" w:hAnsi="Arial" w:cs="Arial"/>
        </w:rPr>
        <w:t xml:space="preserve"> manage power, money, prestige, and opportunity, all of which create incentives for opportunism and abuse. Stewardship Theory is equally indispensable because sport governance depends on mission commitment, long-term thinking, and ethical leadership in ways that exceed </w:t>
      </w:r>
      <w:r w:rsidRPr="00893AF2">
        <w:rPr>
          <w:rFonts w:ascii="Arial" w:hAnsi="Arial" w:cs="Arial"/>
        </w:rPr>
        <w:lastRenderedPageBreak/>
        <w:t>narrow contractual control. The real governance challenge is therefore integrative rather than binary.</w:t>
      </w:r>
    </w:p>
    <w:p w14:paraId="201454C5" w14:textId="77777777" w:rsidR="00A25983" w:rsidRDefault="00A25983" w:rsidP="00A25983">
      <w:pPr>
        <w:rPr>
          <w:rFonts w:ascii="Arial" w:hAnsi="Arial" w:cs="Arial"/>
        </w:rPr>
      </w:pPr>
    </w:p>
    <w:p w14:paraId="6BA1E597" w14:textId="30113189" w:rsidR="001162D6" w:rsidRPr="00893AF2" w:rsidRDefault="00000000" w:rsidP="00A25983">
      <w:pPr>
        <w:rPr>
          <w:rFonts w:ascii="Arial" w:hAnsi="Arial" w:cs="Arial"/>
        </w:rPr>
      </w:pPr>
      <w:r w:rsidRPr="00893AF2">
        <w:rPr>
          <w:rFonts w:ascii="Arial" w:hAnsi="Arial" w:cs="Arial"/>
        </w:rPr>
        <w:t xml:space="preserve">For Olympic sport organisations, the most appropriate governance structure is one of accountable stewardship: a model in which trusted leadership is </w:t>
      </w:r>
      <w:r w:rsidR="00A25983" w:rsidRPr="00893AF2">
        <w:rPr>
          <w:rFonts w:ascii="Arial" w:hAnsi="Arial" w:cs="Arial"/>
        </w:rPr>
        <w:t>supported but</w:t>
      </w:r>
      <w:r w:rsidRPr="00893AF2">
        <w:rPr>
          <w:rFonts w:ascii="Arial" w:hAnsi="Arial" w:cs="Arial"/>
        </w:rPr>
        <w:t xml:space="preserve"> never left </w:t>
      </w:r>
      <w:r w:rsidR="00A25983">
        <w:rPr>
          <w:rFonts w:ascii="Arial" w:hAnsi="Arial" w:cs="Arial"/>
        </w:rPr>
        <w:t>unscrutinised.</w:t>
      </w:r>
      <w:r w:rsidRPr="00893AF2">
        <w:rPr>
          <w:rFonts w:ascii="Arial" w:hAnsi="Arial" w:cs="Arial"/>
        </w:rPr>
        <w:t xml:space="preserve"> </w:t>
      </w:r>
      <w:r w:rsidR="00A25983">
        <w:rPr>
          <w:rFonts w:ascii="Arial" w:hAnsi="Arial" w:cs="Arial"/>
        </w:rPr>
        <w:t>In this model,</w:t>
      </w:r>
      <w:r w:rsidRPr="00893AF2">
        <w:rPr>
          <w:rFonts w:ascii="Arial" w:hAnsi="Arial" w:cs="Arial"/>
        </w:rPr>
        <w:t xml:space="preserve"> boards are strategic, but also answerable</w:t>
      </w:r>
      <w:r w:rsidR="00A25983">
        <w:rPr>
          <w:rFonts w:ascii="Arial" w:hAnsi="Arial" w:cs="Arial"/>
        </w:rPr>
        <w:t xml:space="preserve"> primarily to their members but also to stakeholders.</w:t>
      </w:r>
      <w:r w:rsidRPr="00893AF2">
        <w:rPr>
          <w:rFonts w:ascii="Arial" w:hAnsi="Arial" w:cs="Arial"/>
        </w:rPr>
        <w:t xml:space="preserve"> </w:t>
      </w:r>
      <w:r w:rsidR="00A25983">
        <w:rPr>
          <w:rFonts w:ascii="Arial" w:hAnsi="Arial" w:cs="Arial"/>
        </w:rPr>
        <w:t>O</w:t>
      </w:r>
      <w:r w:rsidRPr="00893AF2">
        <w:rPr>
          <w:rFonts w:ascii="Arial" w:hAnsi="Arial" w:cs="Arial"/>
        </w:rPr>
        <w:t xml:space="preserve">rganisational culture </w:t>
      </w:r>
      <w:r w:rsidR="00A25983">
        <w:rPr>
          <w:rFonts w:ascii="Arial" w:hAnsi="Arial" w:cs="Arial"/>
        </w:rPr>
        <w:t xml:space="preserve">ideally should </w:t>
      </w:r>
      <w:r w:rsidRPr="00893AF2">
        <w:rPr>
          <w:rFonts w:ascii="Arial" w:hAnsi="Arial" w:cs="Arial"/>
        </w:rPr>
        <w:t xml:space="preserve">reinforce, rather than replace, constitutional safeguards. Governance in Olympic </w:t>
      </w:r>
      <w:proofErr w:type="gramStart"/>
      <w:r w:rsidRPr="00893AF2">
        <w:rPr>
          <w:rFonts w:ascii="Arial" w:hAnsi="Arial" w:cs="Arial"/>
        </w:rPr>
        <w:t>sport</w:t>
      </w:r>
      <w:proofErr w:type="gramEnd"/>
      <w:r w:rsidRPr="00893AF2">
        <w:rPr>
          <w:rFonts w:ascii="Arial" w:hAnsi="Arial" w:cs="Arial"/>
        </w:rPr>
        <w:t xml:space="preserve"> works best not when it chooses between Agency Theory and</w:t>
      </w:r>
      <w:r w:rsidR="00A25983">
        <w:rPr>
          <w:rFonts w:ascii="Arial" w:hAnsi="Arial" w:cs="Arial"/>
        </w:rPr>
        <w:t>/or</w:t>
      </w:r>
      <w:r w:rsidRPr="00893AF2">
        <w:rPr>
          <w:rFonts w:ascii="Arial" w:hAnsi="Arial" w:cs="Arial"/>
        </w:rPr>
        <w:t xml:space="preserve"> Stewardship Theory, but when it disciplines each with the insights of the other.</w:t>
      </w:r>
      <w:r w:rsidR="00A25983">
        <w:rPr>
          <w:rFonts w:ascii="Arial" w:hAnsi="Arial" w:cs="Arial"/>
        </w:rPr>
        <w:t xml:space="preserve"> To that end</w:t>
      </w:r>
      <w:r w:rsidR="007A3F8E">
        <w:rPr>
          <w:rFonts w:ascii="Arial" w:hAnsi="Arial" w:cs="Arial"/>
        </w:rPr>
        <w:t>,</w:t>
      </w:r>
      <w:r w:rsidR="00A25983">
        <w:rPr>
          <w:rFonts w:ascii="Arial" w:hAnsi="Arial" w:cs="Arial"/>
        </w:rPr>
        <w:t xml:space="preserve"> implementing structures that counter attempts to concentrate power are essential. This will become evident when we see the significant reduction of specific individuals holding multiple governance and management roles simultaneously across sport and less people being rewarded for holding positions in sport organi</w:t>
      </w:r>
      <w:r w:rsidR="007A3F8E">
        <w:rPr>
          <w:rFonts w:ascii="Arial" w:hAnsi="Arial" w:cs="Arial"/>
        </w:rPr>
        <w:t>s</w:t>
      </w:r>
      <w:r w:rsidR="00A25983">
        <w:rPr>
          <w:rFonts w:ascii="Arial" w:hAnsi="Arial" w:cs="Arial"/>
        </w:rPr>
        <w:t>ation</w:t>
      </w:r>
      <w:r w:rsidR="007A3F8E">
        <w:rPr>
          <w:rFonts w:ascii="Arial" w:hAnsi="Arial" w:cs="Arial"/>
        </w:rPr>
        <w:t>s</w:t>
      </w:r>
      <w:r w:rsidR="00A25983">
        <w:rPr>
          <w:rFonts w:ascii="Arial" w:hAnsi="Arial" w:cs="Arial"/>
        </w:rPr>
        <w:t xml:space="preserve"> for 20 or more years.</w:t>
      </w:r>
      <w:r w:rsidR="007A3F8E">
        <w:rPr>
          <w:rFonts w:ascii="Arial" w:hAnsi="Arial" w:cs="Arial"/>
        </w:rPr>
        <w:t xml:space="preserve"> </w:t>
      </w:r>
    </w:p>
    <w:p w14:paraId="3CF1BCB4" w14:textId="77777777" w:rsidR="001162D6" w:rsidRPr="00893AF2" w:rsidRDefault="00000000">
      <w:pPr>
        <w:rPr>
          <w:rFonts w:ascii="Arial" w:hAnsi="Arial" w:cs="Arial"/>
        </w:rPr>
      </w:pPr>
      <w:r w:rsidRPr="00893AF2">
        <w:rPr>
          <w:rFonts w:ascii="Arial" w:hAnsi="Arial" w:cs="Arial"/>
        </w:rPr>
        <w:br w:type="page"/>
      </w:r>
    </w:p>
    <w:p w14:paraId="20E12022" w14:textId="77777777" w:rsidR="001162D6" w:rsidRPr="00893AF2" w:rsidRDefault="00000000">
      <w:pPr>
        <w:pStyle w:val="APAHeading1"/>
        <w:rPr>
          <w:rFonts w:ascii="Arial" w:hAnsi="Arial" w:cs="Arial"/>
        </w:rPr>
      </w:pPr>
      <w:r w:rsidRPr="00893AF2">
        <w:rPr>
          <w:rFonts w:ascii="Arial" w:hAnsi="Arial" w:cs="Arial"/>
        </w:rPr>
        <w:lastRenderedPageBreak/>
        <w:t>References</w:t>
      </w:r>
    </w:p>
    <w:p w14:paraId="779A6A8D" w14:textId="58F5A179" w:rsidR="001162D6" w:rsidRPr="00893AF2" w:rsidRDefault="00000000" w:rsidP="005D148D">
      <w:pPr>
        <w:spacing w:before="120" w:after="240" w:line="240" w:lineRule="auto"/>
        <w:rPr>
          <w:rFonts w:ascii="Arial" w:hAnsi="Arial" w:cs="Arial"/>
        </w:rPr>
      </w:pPr>
      <w:r w:rsidRPr="00893AF2">
        <w:rPr>
          <w:rFonts w:ascii="Arial" w:hAnsi="Arial" w:cs="Arial"/>
        </w:rPr>
        <w:t xml:space="preserve">Australian Olympic Committee. (2024). </w:t>
      </w:r>
      <w:r w:rsidRPr="00893AF2">
        <w:rPr>
          <w:rFonts w:ascii="Arial" w:hAnsi="Arial" w:cs="Arial"/>
          <w:i/>
        </w:rPr>
        <w:t>2023 AOC annual report</w:t>
      </w:r>
      <w:r w:rsidRPr="00893AF2">
        <w:rPr>
          <w:rFonts w:ascii="Arial" w:hAnsi="Arial" w:cs="Arial"/>
        </w:rPr>
        <w:t>. Available at:</w:t>
      </w:r>
      <w:r w:rsidR="005D148D">
        <w:rPr>
          <w:rFonts w:ascii="Arial" w:hAnsi="Arial" w:cs="Arial"/>
        </w:rPr>
        <w:t xml:space="preserve"> </w:t>
      </w:r>
      <w:hyperlink r:id="rId8" w:history="1">
        <w:r w:rsidR="005D148D" w:rsidRPr="00783CBD">
          <w:rPr>
            <w:rStyle w:val="Hyperlink"/>
            <w:rFonts w:ascii="Arial" w:hAnsi="Arial" w:cs="Arial"/>
          </w:rPr>
          <w:t>https://content.olympics.com.au/public/2024-04/2023%20AOC%20Annual%20Report.pdf.</w:t>
        </w:r>
      </w:hyperlink>
      <w:r w:rsidRPr="00893AF2">
        <w:rPr>
          <w:rFonts w:ascii="Arial" w:hAnsi="Arial" w:cs="Arial"/>
        </w:rPr>
        <w:t xml:space="preserve"> Retrieved on: </w:t>
      </w:r>
      <w:r w:rsidR="005D148D">
        <w:rPr>
          <w:rFonts w:ascii="Arial" w:hAnsi="Arial" w:cs="Arial"/>
        </w:rPr>
        <w:t>7</w:t>
      </w:r>
      <w:r w:rsidRPr="00893AF2">
        <w:rPr>
          <w:rFonts w:ascii="Arial" w:hAnsi="Arial" w:cs="Arial"/>
        </w:rPr>
        <w:t xml:space="preserve"> </w:t>
      </w:r>
      <w:r w:rsidR="005D148D">
        <w:rPr>
          <w:rFonts w:ascii="Arial" w:hAnsi="Arial" w:cs="Arial"/>
        </w:rPr>
        <w:t xml:space="preserve">January </w:t>
      </w:r>
      <w:r w:rsidRPr="00893AF2">
        <w:rPr>
          <w:rFonts w:ascii="Arial" w:hAnsi="Arial" w:cs="Arial"/>
        </w:rPr>
        <w:t>2026.</w:t>
      </w:r>
    </w:p>
    <w:p w14:paraId="79F697E2" w14:textId="4DF357A3" w:rsidR="001162D6" w:rsidRPr="00893AF2" w:rsidRDefault="00000000" w:rsidP="005D148D">
      <w:pPr>
        <w:spacing w:before="120" w:after="240" w:line="240" w:lineRule="auto"/>
        <w:rPr>
          <w:rFonts w:ascii="Arial" w:hAnsi="Arial" w:cs="Arial"/>
        </w:rPr>
      </w:pPr>
      <w:r w:rsidRPr="00893AF2">
        <w:rPr>
          <w:rFonts w:ascii="Arial" w:hAnsi="Arial" w:cs="Arial"/>
        </w:rPr>
        <w:t xml:space="preserve">Australian Olympic Committee Incorporated. (2019). </w:t>
      </w:r>
      <w:r w:rsidRPr="00893AF2">
        <w:rPr>
          <w:rFonts w:ascii="Arial" w:hAnsi="Arial" w:cs="Arial"/>
          <w:i/>
        </w:rPr>
        <w:t>AOC constitution</w:t>
      </w:r>
      <w:r w:rsidRPr="00893AF2">
        <w:rPr>
          <w:rFonts w:ascii="Arial" w:hAnsi="Arial" w:cs="Arial"/>
        </w:rPr>
        <w:t xml:space="preserve">. Available at: </w:t>
      </w:r>
      <w:hyperlink r:id="rId9" w:history="1">
        <w:r w:rsidRPr="00500016">
          <w:rPr>
            <w:rStyle w:val="Hyperlink"/>
            <w:rFonts w:ascii="Arial" w:hAnsi="Arial" w:cs="Arial"/>
          </w:rPr>
          <w:t>https://content.olympics.com.au/public/2019-09/AOC%20Constitution%202019.pdf</w:t>
        </w:r>
      </w:hyperlink>
      <w:r w:rsidRPr="00893AF2">
        <w:rPr>
          <w:rFonts w:ascii="Arial" w:hAnsi="Arial" w:cs="Arial"/>
        </w:rPr>
        <w:t xml:space="preserve"> Retrieved on: </w:t>
      </w:r>
      <w:r w:rsidR="00500016">
        <w:rPr>
          <w:rFonts w:ascii="Arial" w:hAnsi="Arial" w:cs="Arial"/>
        </w:rPr>
        <w:t>7 January</w:t>
      </w:r>
      <w:r w:rsidRPr="00893AF2">
        <w:rPr>
          <w:rFonts w:ascii="Arial" w:hAnsi="Arial" w:cs="Arial"/>
        </w:rPr>
        <w:t xml:space="preserve"> 2026.</w:t>
      </w:r>
    </w:p>
    <w:p w14:paraId="042DB244" w14:textId="674B8B57" w:rsidR="001162D6" w:rsidRPr="00893AF2" w:rsidRDefault="00000000" w:rsidP="005D148D">
      <w:pPr>
        <w:spacing w:before="120" w:after="240" w:line="240" w:lineRule="auto"/>
        <w:rPr>
          <w:rFonts w:ascii="Arial" w:hAnsi="Arial" w:cs="Arial"/>
        </w:rPr>
      </w:pPr>
      <w:r w:rsidRPr="00893AF2">
        <w:rPr>
          <w:rFonts w:ascii="Arial" w:hAnsi="Arial" w:cs="Arial"/>
        </w:rPr>
        <w:t xml:space="preserve">Chappelet, J.-L. (2023). The governance of the Olympic system: From one to many stakeholders. </w:t>
      </w:r>
      <w:r w:rsidRPr="00893AF2">
        <w:rPr>
          <w:rFonts w:ascii="Arial" w:hAnsi="Arial" w:cs="Arial"/>
          <w:i/>
        </w:rPr>
        <w:t>Journal of Global Sport Management, 8</w:t>
      </w:r>
      <w:r w:rsidRPr="00893AF2">
        <w:rPr>
          <w:rFonts w:ascii="Arial" w:hAnsi="Arial" w:cs="Arial"/>
        </w:rPr>
        <w:t xml:space="preserve">(4), 783–800. </w:t>
      </w:r>
      <w:hyperlink r:id="rId10" w:history="1">
        <w:r w:rsidR="000836B9" w:rsidRPr="00783CBD">
          <w:rPr>
            <w:rStyle w:val="Hyperlink"/>
            <w:rFonts w:ascii="Arial" w:hAnsi="Arial" w:cs="Arial"/>
          </w:rPr>
          <w:t>https://doi.org/10.1080/24704067.2021.1899767</w:t>
        </w:r>
      </w:hyperlink>
      <w:r w:rsidR="000836B9">
        <w:rPr>
          <w:rFonts w:ascii="Arial" w:hAnsi="Arial" w:cs="Arial"/>
        </w:rPr>
        <w:t xml:space="preserve"> Retrieved 14 December 2025.</w:t>
      </w:r>
    </w:p>
    <w:p w14:paraId="681C833D" w14:textId="689B5FDC" w:rsidR="001162D6" w:rsidRPr="000836B9" w:rsidRDefault="00000000" w:rsidP="005D148D">
      <w:pPr>
        <w:spacing w:before="120" w:after="240" w:line="240" w:lineRule="auto"/>
        <w:rPr>
          <w:rFonts w:ascii="Arial" w:hAnsi="Arial" w:cs="Arial"/>
          <w:lang w:val="en-AU"/>
        </w:rPr>
      </w:pPr>
      <w:r w:rsidRPr="00893AF2">
        <w:rPr>
          <w:rFonts w:ascii="Arial" w:hAnsi="Arial" w:cs="Arial"/>
        </w:rPr>
        <w:t xml:space="preserve">Cornforth, C. (2004). The governance of co-operatives and mutual associations: A paradox perspective. </w:t>
      </w:r>
      <w:r w:rsidRPr="00893AF2">
        <w:rPr>
          <w:rFonts w:ascii="Arial" w:hAnsi="Arial" w:cs="Arial"/>
          <w:i/>
        </w:rPr>
        <w:t>Annals of Public and Cooperative Economics, 75</w:t>
      </w:r>
      <w:r w:rsidRPr="00893AF2">
        <w:rPr>
          <w:rFonts w:ascii="Arial" w:hAnsi="Arial" w:cs="Arial"/>
        </w:rPr>
        <w:t>(1), 11–32.</w:t>
      </w:r>
      <w:r w:rsidR="000836B9">
        <w:rPr>
          <w:rFonts w:ascii="Arial" w:hAnsi="Arial" w:cs="Arial"/>
        </w:rPr>
        <w:t xml:space="preserve"> </w:t>
      </w:r>
      <w:hyperlink r:id="rId11" w:history="1">
        <w:r w:rsidR="000836B9" w:rsidRPr="00783CBD">
          <w:rPr>
            <w:rStyle w:val="Hyperlink"/>
            <w:rFonts w:ascii="Arial" w:hAnsi="Arial" w:cs="Arial"/>
            <w:lang w:val="en-AU"/>
          </w:rPr>
          <w:t>https://doi.org/10.1111/j.1467-8292.2004.00241.x</w:t>
        </w:r>
      </w:hyperlink>
      <w:r w:rsidR="000836B9">
        <w:rPr>
          <w:rFonts w:ascii="Arial" w:hAnsi="Arial" w:cs="Arial"/>
          <w:lang w:val="en-AU"/>
        </w:rPr>
        <w:t xml:space="preserve"> Retrieved 8 December 2025</w:t>
      </w:r>
    </w:p>
    <w:p w14:paraId="079BFB35" w14:textId="42D40A2B" w:rsidR="00AE3C63" w:rsidRPr="00893AF2" w:rsidRDefault="00AE3C63" w:rsidP="005D148D">
      <w:pPr>
        <w:spacing w:before="120" w:after="240" w:line="240" w:lineRule="auto"/>
        <w:rPr>
          <w:rFonts w:ascii="Arial" w:hAnsi="Arial" w:cs="Arial"/>
        </w:rPr>
      </w:pPr>
      <w:r w:rsidRPr="00AE3C63">
        <w:rPr>
          <w:rFonts w:ascii="Arial" w:hAnsi="Arial" w:cs="Arial"/>
        </w:rPr>
        <w:t xml:space="preserve">Dichter, H. L. (2016). Corruption in the 1960s? Rethinking the origins of unethical Olympic bidding tactics. </w:t>
      </w:r>
      <w:r w:rsidRPr="00AE3C63">
        <w:rPr>
          <w:rFonts w:ascii="Arial" w:hAnsi="Arial" w:cs="Arial"/>
          <w:i/>
          <w:iCs/>
        </w:rPr>
        <w:t>The International Journal of the History of Sport, 33</w:t>
      </w:r>
      <w:r w:rsidRPr="00AE3C63">
        <w:rPr>
          <w:rFonts w:ascii="Arial" w:hAnsi="Arial" w:cs="Arial"/>
        </w:rPr>
        <w:t xml:space="preserve">(6–7), 666–682. Available at: Taylor &amp; Francis Online. Retrieved on </w:t>
      </w:r>
      <w:r w:rsidR="000836B9">
        <w:rPr>
          <w:rFonts w:ascii="Arial" w:hAnsi="Arial" w:cs="Arial"/>
        </w:rPr>
        <w:t>3 December 2025</w:t>
      </w:r>
    </w:p>
    <w:p w14:paraId="28E39F44" w14:textId="2D4F0A42" w:rsidR="001162D6" w:rsidRPr="00893AF2" w:rsidRDefault="00000000" w:rsidP="005D148D">
      <w:pPr>
        <w:spacing w:before="120" w:after="240" w:line="240" w:lineRule="auto"/>
        <w:rPr>
          <w:rFonts w:ascii="Arial" w:hAnsi="Arial" w:cs="Arial"/>
        </w:rPr>
      </w:pPr>
      <w:r w:rsidRPr="00893AF2">
        <w:rPr>
          <w:rFonts w:ascii="Arial" w:hAnsi="Arial" w:cs="Arial"/>
        </w:rPr>
        <w:t xml:space="preserve">Donaldson, L., &amp; Davis, J. H. (1991). Stewardship theory or agency theory: CEO governance and shareholder returns. </w:t>
      </w:r>
      <w:r w:rsidRPr="00893AF2">
        <w:rPr>
          <w:rFonts w:ascii="Arial" w:hAnsi="Arial" w:cs="Arial"/>
          <w:i/>
        </w:rPr>
        <w:t>Australian Journal of Management, 16</w:t>
      </w:r>
      <w:r w:rsidRPr="00893AF2">
        <w:rPr>
          <w:rFonts w:ascii="Arial" w:hAnsi="Arial" w:cs="Arial"/>
        </w:rPr>
        <w:t>(1), 49–64.</w:t>
      </w:r>
      <w:r w:rsidR="000836B9">
        <w:rPr>
          <w:rFonts w:ascii="Arial" w:hAnsi="Arial" w:cs="Arial"/>
        </w:rPr>
        <w:t xml:space="preserve"> </w:t>
      </w:r>
      <w:hyperlink r:id="rId12" w:history="1">
        <w:r w:rsidR="000836B9" w:rsidRPr="00783CBD">
          <w:rPr>
            <w:rStyle w:val="Hyperlink"/>
            <w:rFonts w:ascii="Arial" w:hAnsi="Arial" w:cs="Arial"/>
          </w:rPr>
          <w:t>https://doi.org/10.1177/031289629101600103</w:t>
        </w:r>
      </w:hyperlink>
      <w:r w:rsidR="000836B9">
        <w:rPr>
          <w:rFonts w:ascii="Arial" w:hAnsi="Arial" w:cs="Arial"/>
        </w:rPr>
        <w:t xml:space="preserve"> Retrieved 22 November 2025.</w:t>
      </w:r>
    </w:p>
    <w:p w14:paraId="3F61C0F4" w14:textId="5F487224" w:rsidR="001162D6" w:rsidRPr="00893AF2" w:rsidRDefault="00000000" w:rsidP="005D148D">
      <w:pPr>
        <w:spacing w:before="120" w:after="240" w:line="240" w:lineRule="auto"/>
        <w:rPr>
          <w:rFonts w:ascii="Arial" w:hAnsi="Arial" w:cs="Arial"/>
        </w:rPr>
      </w:pPr>
      <w:r w:rsidRPr="00893AF2">
        <w:rPr>
          <w:rFonts w:ascii="Arial" w:hAnsi="Arial" w:cs="Arial"/>
        </w:rPr>
        <w:t xml:space="preserve">Eisenhardt, K. M. (1989). Agency theory: An assessment and review. </w:t>
      </w:r>
      <w:r w:rsidRPr="00893AF2">
        <w:rPr>
          <w:rFonts w:ascii="Arial" w:hAnsi="Arial" w:cs="Arial"/>
          <w:i/>
        </w:rPr>
        <w:t>Academy of Management Review, 14</w:t>
      </w:r>
      <w:r w:rsidRPr="00893AF2">
        <w:rPr>
          <w:rFonts w:ascii="Arial" w:hAnsi="Arial" w:cs="Arial"/>
        </w:rPr>
        <w:t xml:space="preserve">(1), 57–74. </w:t>
      </w:r>
      <w:hyperlink r:id="rId13" w:tgtFrame="_blank" w:history="1">
        <w:r w:rsidR="000836B9" w:rsidRPr="000836B9">
          <w:rPr>
            <w:rStyle w:val="Hyperlink"/>
            <w:rFonts w:ascii="Arial" w:hAnsi="Arial" w:cs="Arial"/>
          </w:rPr>
          <w:t>https://doi.org/10.2307/258191</w:t>
        </w:r>
      </w:hyperlink>
      <w:r w:rsidR="000836B9">
        <w:rPr>
          <w:rFonts w:ascii="Arial" w:hAnsi="Arial" w:cs="Arial"/>
        </w:rPr>
        <w:t xml:space="preserve"> Retrieved 23 November 2025.</w:t>
      </w:r>
    </w:p>
    <w:p w14:paraId="243434E6" w14:textId="3761138E" w:rsidR="001162D6" w:rsidRPr="00893AF2" w:rsidRDefault="00000000" w:rsidP="005D148D">
      <w:pPr>
        <w:spacing w:before="120" w:after="240" w:line="240" w:lineRule="auto"/>
        <w:rPr>
          <w:rFonts w:ascii="Arial" w:hAnsi="Arial" w:cs="Arial"/>
        </w:rPr>
      </w:pPr>
      <w:r w:rsidRPr="00893AF2">
        <w:rPr>
          <w:rFonts w:ascii="Arial" w:hAnsi="Arial" w:cs="Arial"/>
        </w:rPr>
        <w:t xml:space="preserve">Ferkins, L., &amp; Shilbury, D. (2012). Good boards are strategic: What does that mean for sport governance? </w:t>
      </w:r>
      <w:r w:rsidRPr="00893AF2">
        <w:rPr>
          <w:rFonts w:ascii="Arial" w:hAnsi="Arial" w:cs="Arial"/>
          <w:i/>
        </w:rPr>
        <w:t>Journal of Sport Management, 26</w:t>
      </w:r>
      <w:r w:rsidRPr="00893AF2">
        <w:rPr>
          <w:rFonts w:ascii="Arial" w:hAnsi="Arial" w:cs="Arial"/>
        </w:rPr>
        <w:t>(1), 67–80.</w:t>
      </w:r>
      <w:r w:rsidR="005B5951">
        <w:rPr>
          <w:rFonts w:ascii="Arial" w:hAnsi="Arial" w:cs="Arial"/>
        </w:rPr>
        <w:t xml:space="preserve"> </w:t>
      </w:r>
      <w:hyperlink r:id="rId14" w:tgtFrame="_blank" w:history="1">
        <w:r w:rsidR="005B5951" w:rsidRPr="005B5951">
          <w:rPr>
            <w:rStyle w:val="Hyperlink"/>
            <w:rFonts w:ascii="Arial" w:hAnsi="Arial" w:cs="Arial"/>
          </w:rPr>
          <w:t>https://doi.org/10.1123/jsm.26.1.67</w:t>
        </w:r>
      </w:hyperlink>
      <w:r w:rsidR="005B5951">
        <w:rPr>
          <w:rFonts w:ascii="Arial" w:hAnsi="Arial" w:cs="Arial"/>
        </w:rPr>
        <w:t xml:space="preserve"> Retrieved 12 December 2025.</w:t>
      </w:r>
    </w:p>
    <w:p w14:paraId="01DE1062" w14:textId="769E1F0C" w:rsidR="001162D6" w:rsidRPr="00893AF2" w:rsidRDefault="00000000" w:rsidP="005D148D">
      <w:pPr>
        <w:spacing w:before="120" w:after="240" w:line="240" w:lineRule="auto"/>
        <w:rPr>
          <w:rFonts w:ascii="Arial" w:hAnsi="Arial" w:cs="Arial"/>
        </w:rPr>
      </w:pPr>
      <w:r w:rsidRPr="00893AF2">
        <w:rPr>
          <w:rFonts w:ascii="Arial" w:hAnsi="Arial" w:cs="Arial"/>
        </w:rPr>
        <w:t xml:space="preserve">Ferkins, L., &amp; Shilbury, D. (2015). Board strategic balance: An emerging sport governance theory. </w:t>
      </w:r>
      <w:r w:rsidRPr="00893AF2">
        <w:rPr>
          <w:rFonts w:ascii="Arial" w:hAnsi="Arial" w:cs="Arial"/>
          <w:i/>
        </w:rPr>
        <w:t>Sport Management Review, 18</w:t>
      </w:r>
      <w:r w:rsidRPr="00893AF2">
        <w:rPr>
          <w:rFonts w:ascii="Arial" w:hAnsi="Arial" w:cs="Arial"/>
        </w:rPr>
        <w:t xml:space="preserve">(4), 489–500. </w:t>
      </w:r>
      <w:hyperlink r:id="rId15" w:history="1">
        <w:r w:rsidR="005B5951" w:rsidRPr="00783CBD">
          <w:rPr>
            <w:rStyle w:val="Hyperlink"/>
            <w:rFonts w:ascii="Arial" w:hAnsi="Arial" w:cs="Arial"/>
          </w:rPr>
          <w:t>https://doi.org/10.1016/j.smr.2014.12.002</w:t>
        </w:r>
      </w:hyperlink>
      <w:r w:rsidR="005B5951">
        <w:rPr>
          <w:rFonts w:ascii="Arial" w:hAnsi="Arial" w:cs="Arial"/>
        </w:rPr>
        <w:t xml:space="preserve"> Retrieved 12 December 2025.</w:t>
      </w:r>
    </w:p>
    <w:p w14:paraId="60CFAE79" w14:textId="32CFE750" w:rsidR="00EA31BF" w:rsidRDefault="00EA31BF" w:rsidP="005D148D">
      <w:pPr>
        <w:spacing w:before="120" w:after="240" w:line="240" w:lineRule="auto"/>
        <w:rPr>
          <w:rFonts w:ascii="Arial" w:hAnsi="Arial" w:cs="Arial"/>
        </w:rPr>
      </w:pPr>
      <w:r w:rsidRPr="00EA31BF">
        <w:rPr>
          <w:rFonts w:ascii="Arial" w:hAnsi="Arial" w:cs="Arial"/>
        </w:rPr>
        <w:t xml:space="preserve">Geeraert, A., &amp; van </w:t>
      </w:r>
      <w:proofErr w:type="spellStart"/>
      <w:r w:rsidRPr="00EA31BF">
        <w:rPr>
          <w:rFonts w:ascii="Arial" w:hAnsi="Arial" w:cs="Arial"/>
        </w:rPr>
        <w:t>Eekeren</w:t>
      </w:r>
      <w:proofErr w:type="spellEnd"/>
      <w:r w:rsidRPr="00EA31BF">
        <w:rPr>
          <w:rFonts w:ascii="Arial" w:hAnsi="Arial" w:cs="Arial"/>
        </w:rPr>
        <w:t xml:space="preserve">, F. (Eds.). (2021). Good Governance in Sport: Critical Reflections (1st ed.). Routledge. </w:t>
      </w:r>
      <w:hyperlink r:id="rId16" w:history="1">
        <w:r w:rsidRPr="00783CBD">
          <w:rPr>
            <w:rStyle w:val="Hyperlink"/>
            <w:rFonts w:ascii="Arial" w:hAnsi="Arial" w:cs="Arial"/>
          </w:rPr>
          <w:t>https://doi.org/10.4324/9781003172833</w:t>
        </w:r>
      </w:hyperlink>
    </w:p>
    <w:p w14:paraId="3F273540" w14:textId="54B93915" w:rsidR="001162D6" w:rsidRPr="00893AF2" w:rsidRDefault="00000000" w:rsidP="005D148D">
      <w:pPr>
        <w:spacing w:before="120" w:after="240" w:line="240" w:lineRule="auto"/>
        <w:rPr>
          <w:rFonts w:ascii="Arial" w:hAnsi="Arial" w:cs="Arial"/>
        </w:rPr>
      </w:pPr>
      <w:r w:rsidRPr="00893AF2">
        <w:rPr>
          <w:rFonts w:ascii="Arial" w:hAnsi="Arial" w:cs="Arial"/>
        </w:rPr>
        <w:t xml:space="preserve">Geeraert, A. (2018). </w:t>
      </w:r>
      <w:r w:rsidRPr="00893AF2">
        <w:rPr>
          <w:rFonts w:ascii="Arial" w:hAnsi="Arial" w:cs="Arial"/>
          <w:i/>
        </w:rPr>
        <w:t>Sports governance observer 2018: An assessment of good governance in five international sports federations</w:t>
      </w:r>
      <w:r w:rsidRPr="00893AF2">
        <w:rPr>
          <w:rFonts w:ascii="Arial" w:hAnsi="Arial" w:cs="Arial"/>
        </w:rPr>
        <w:t>. Play the Game / Danish Institute for Sports Studies.</w:t>
      </w:r>
      <w:r w:rsidR="005B5951">
        <w:rPr>
          <w:rFonts w:ascii="Arial" w:hAnsi="Arial" w:cs="Arial"/>
        </w:rPr>
        <w:t xml:space="preserve"> Available at: </w:t>
      </w:r>
      <w:hyperlink r:id="rId17" w:history="1">
        <w:r w:rsidR="005B5951" w:rsidRPr="00783CBD">
          <w:rPr>
            <w:rStyle w:val="Hyperlink"/>
            <w:rFonts w:ascii="Arial" w:hAnsi="Arial" w:cs="Arial"/>
          </w:rPr>
          <w:t>www.playthegame.org/media/ygyf4r51/sports-governance-observer-2018-international.pdf</w:t>
        </w:r>
      </w:hyperlink>
      <w:r w:rsidR="005B5951">
        <w:rPr>
          <w:rFonts w:ascii="Arial" w:hAnsi="Arial" w:cs="Arial"/>
        </w:rPr>
        <w:t xml:space="preserve"> Retrieved 4 July 2021.</w:t>
      </w:r>
    </w:p>
    <w:p w14:paraId="0DD438F2" w14:textId="1AE62116" w:rsidR="007A3F8E" w:rsidRDefault="007A3F8E" w:rsidP="005D148D">
      <w:pPr>
        <w:spacing w:before="120" w:after="240" w:line="240" w:lineRule="auto"/>
        <w:rPr>
          <w:rFonts w:ascii="Arial" w:hAnsi="Arial" w:cs="Arial"/>
        </w:rPr>
      </w:pPr>
      <w:r w:rsidRPr="007A3F8E">
        <w:rPr>
          <w:rFonts w:ascii="Arial" w:hAnsi="Arial" w:cs="Arial"/>
        </w:rPr>
        <w:t xml:space="preserve">Geeraert, A. (2015) </w:t>
      </w:r>
      <w:r w:rsidRPr="007A3F8E">
        <w:rPr>
          <w:rFonts w:ascii="Arial" w:hAnsi="Arial" w:cs="Arial"/>
          <w:i/>
          <w:iCs/>
        </w:rPr>
        <w:t>Sports Governance Observer 2015: The legitimacy crisis in international sports governance</w:t>
      </w:r>
      <w:r w:rsidRPr="007A3F8E">
        <w:rPr>
          <w:rFonts w:ascii="Arial" w:hAnsi="Arial" w:cs="Arial"/>
        </w:rPr>
        <w:t>. Danish Institute for Sports Studies / Play the Game.</w:t>
      </w:r>
      <w:r w:rsidR="00EA31BF">
        <w:rPr>
          <w:rFonts w:ascii="Arial" w:hAnsi="Arial" w:cs="Arial"/>
        </w:rPr>
        <w:t xml:space="preserve"> Available at: </w:t>
      </w:r>
      <w:hyperlink r:id="rId18" w:history="1">
        <w:r w:rsidR="00EA31BF" w:rsidRPr="00783CBD">
          <w:rPr>
            <w:rStyle w:val="Hyperlink"/>
            <w:rFonts w:ascii="Arial" w:hAnsi="Arial" w:cs="Arial"/>
          </w:rPr>
          <w:t>https://www.playthegame.org/publications/sports-governance-observer-2015-the-legitimacy-crisis-in-international-sports-governance/</w:t>
        </w:r>
      </w:hyperlink>
      <w:r w:rsidR="00EA31BF">
        <w:rPr>
          <w:rFonts w:ascii="Arial" w:hAnsi="Arial" w:cs="Arial"/>
        </w:rPr>
        <w:t xml:space="preserve"> Retrieved 4 July 2021.</w:t>
      </w:r>
    </w:p>
    <w:p w14:paraId="5E32B430" w14:textId="7285B095" w:rsidR="001162D6" w:rsidRPr="00893AF2" w:rsidRDefault="00000000" w:rsidP="005D148D">
      <w:pPr>
        <w:spacing w:before="120" w:after="240" w:line="240" w:lineRule="auto"/>
        <w:rPr>
          <w:rFonts w:ascii="Arial" w:hAnsi="Arial" w:cs="Arial"/>
        </w:rPr>
      </w:pPr>
      <w:r w:rsidRPr="00893AF2">
        <w:rPr>
          <w:rFonts w:ascii="Arial" w:hAnsi="Arial" w:cs="Arial"/>
        </w:rPr>
        <w:lastRenderedPageBreak/>
        <w:t xml:space="preserve">Geeraert, A., Alm, J., &amp; Groll, M. (2014). Good governance in international sport organizations: An analysis of the 35 Olympic sport governing bodies. </w:t>
      </w:r>
      <w:r w:rsidRPr="00893AF2">
        <w:rPr>
          <w:rFonts w:ascii="Arial" w:hAnsi="Arial" w:cs="Arial"/>
          <w:i/>
        </w:rPr>
        <w:t>International Journal of Sport Policy and Politics, 6</w:t>
      </w:r>
      <w:r w:rsidRPr="00893AF2">
        <w:rPr>
          <w:rFonts w:ascii="Arial" w:hAnsi="Arial" w:cs="Arial"/>
        </w:rPr>
        <w:t xml:space="preserve">(3), 281–306. </w:t>
      </w:r>
      <w:hyperlink r:id="rId19" w:history="1">
        <w:r w:rsidR="005B5951" w:rsidRPr="00783CBD">
          <w:rPr>
            <w:rStyle w:val="Hyperlink"/>
            <w:rFonts w:ascii="Arial" w:hAnsi="Arial" w:cs="Arial"/>
          </w:rPr>
          <w:t>https://doi.org/10.1080/19406940.2013.825874</w:t>
        </w:r>
      </w:hyperlink>
      <w:r w:rsidR="005B5951">
        <w:rPr>
          <w:rFonts w:ascii="Arial" w:hAnsi="Arial" w:cs="Arial"/>
        </w:rPr>
        <w:t xml:space="preserve"> Retrieved 12 June 2016.</w:t>
      </w:r>
    </w:p>
    <w:p w14:paraId="5A378168" w14:textId="7A685158" w:rsidR="001162D6" w:rsidRPr="00893AF2" w:rsidRDefault="00000000" w:rsidP="005D148D">
      <w:pPr>
        <w:spacing w:before="120" w:after="240" w:line="240" w:lineRule="auto"/>
        <w:rPr>
          <w:rFonts w:ascii="Arial" w:hAnsi="Arial" w:cs="Arial"/>
        </w:rPr>
      </w:pPr>
      <w:r w:rsidRPr="00893AF2">
        <w:rPr>
          <w:rFonts w:ascii="Arial" w:hAnsi="Arial" w:cs="Arial"/>
        </w:rPr>
        <w:t xml:space="preserve">Hoye, R., &amp; Cuskelly, G. (2007). </w:t>
      </w:r>
      <w:r w:rsidRPr="00893AF2">
        <w:rPr>
          <w:rFonts w:ascii="Arial" w:hAnsi="Arial" w:cs="Arial"/>
          <w:i/>
        </w:rPr>
        <w:t>Sport governance</w:t>
      </w:r>
      <w:r w:rsidRPr="00893AF2">
        <w:rPr>
          <w:rFonts w:ascii="Arial" w:hAnsi="Arial" w:cs="Arial"/>
        </w:rPr>
        <w:t>. Elsevier.</w:t>
      </w:r>
      <w:r w:rsidR="005B5951">
        <w:rPr>
          <w:rFonts w:ascii="Arial" w:hAnsi="Arial" w:cs="Arial"/>
        </w:rPr>
        <w:t xml:space="preserve"> </w:t>
      </w:r>
      <w:hyperlink r:id="rId20" w:history="1">
        <w:r w:rsidR="005B5951" w:rsidRPr="00783CBD">
          <w:rPr>
            <w:rStyle w:val="Hyperlink"/>
            <w:rFonts w:ascii="Arial" w:hAnsi="Arial" w:cs="Arial"/>
          </w:rPr>
          <w:t>https://doi.org/10.4324/9780080466965</w:t>
        </w:r>
      </w:hyperlink>
      <w:r w:rsidR="005B5951">
        <w:rPr>
          <w:rFonts w:ascii="Arial" w:hAnsi="Arial" w:cs="Arial"/>
        </w:rPr>
        <w:t xml:space="preserve"> </w:t>
      </w:r>
    </w:p>
    <w:p w14:paraId="1E6C692C" w14:textId="32B6F065" w:rsidR="001162D6" w:rsidRPr="00893AF2" w:rsidRDefault="00000000" w:rsidP="005D148D">
      <w:pPr>
        <w:spacing w:before="120" w:after="240" w:line="240" w:lineRule="auto"/>
        <w:rPr>
          <w:rFonts w:ascii="Arial" w:hAnsi="Arial" w:cs="Arial"/>
        </w:rPr>
      </w:pPr>
      <w:r w:rsidRPr="00893AF2">
        <w:rPr>
          <w:rFonts w:ascii="Arial" w:hAnsi="Arial" w:cs="Arial"/>
        </w:rPr>
        <w:t xml:space="preserve">International Olympic Committee. (2015). </w:t>
      </w:r>
      <w:r w:rsidRPr="00893AF2">
        <w:rPr>
          <w:rFonts w:ascii="Arial" w:hAnsi="Arial" w:cs="Arial"/>
          <w:i/>
        </w:rPr>
        <w:t>Olympic Agenda 2020</w:t>
      </w:r>
      <w:r w:rsidRPr="00893AF2">
        <w:rPr>
          <w:rFonts w:ascii="Arial" w:hAnsi="Arial" w:cs="Arial"/>
        </w:rPr>
        <w:t xml:space="preserve">. Available at: </w:t>
      </w:r>
      <w:hyperlink r:id="rId21" w:history="1">
        <w:r w:rsidR="005B5951" w:rsidRPr="00783CBD">
          <w:rPr>
            <w:rStyle w:val="Hyperlink"/>
            <w:rFonts w:ascii="Arial" w:hAnsi="Arial" w:cs="Arial"/>
          </w:rPr>
          <w:t>https://www.olympics.com/ioc/olympic-agenda-2020</w:t>
        </w:r>
      </w:hyperlink>
      <w:r w:rsidR="005B5951">
        <w:rPr>
          <w:rFonts w:ascii="Arial" w:hAnsi="Arial" w:cs="Arial"/>
        </w:rPr>
        <w:t xml:space="preserve"> </w:t>
      </w:r>
      <w:r w:rsidRPr="00893AF2">
        <w:rPr>
          <w:rFonts w:ascii="Arial" w:hAnsi="Arial" w:cs="Arial"/>
        </w:rPr>
        <w:t xml:space="preserve"> Retrieved on: </w:t>
      </w:r>
      <w:r w:rsidR="005B5951">
        <w:rPr>
          <w:rFonts w:ascii="Arial" w:hAnsi="Arial" w:cs="Arial"/>
        </w:rPr>
        <w:t>13 March</w:t>
      </w:r>
      <w:r w:rsidRPr="00893AF2">
        <w:rPr>
          <w:rFonts w:ascii="Arial" w:hAnsi="Arial" w:cs="Arial"/>
        </w:rPr>
        <w:t xml:space="preserve"> 2026.</w:t>
      </w:r>
    </w:p>
    <w:p w14:paraId="400B7029" w14:textId="2F311BBF" w:rsidR="001162D6" w:rsidRPr="00893AF2" w:rsidRDefault="00000000" w:rsidP="005D148D">
      <w:pPr>
        <w:spacing w:before="120" w:after="240" w:line="240" w:lineRule="auto"/>
        <w:rPr>
          <w:rFonts w:ascii="Arial" w:hAnsi="Arial" w:cs="Arial"/>
        </w:rPr>
      </w:pPr>
      <w:r w:rsidRPr="00893AF2">
        <w:rPr>
          <w:rFonts w:ascii="Arial" w:hAnsi="Arial" w:cs="Arial"/>
        </w:rPr>
        <w:t xml:space="preserve">International Olympic Committee. (2021). </w:t>
      </w:r>
      <w:r w:rsidRPr="00893AF2">
        <w:rPr>
          <w:rFonts w:ascii="Arial" w:hAnsi="Arial" w:cs="Arial"/>
          <w:i/>
        </w:rPr>
        <w:t>Olympic Agenda 2020+5</w:t>
      </w:r>
      <w:r w:rsidRPr="00893AF2">
        <w:rPr>
          <w:rFonts w:ascii="Arial" w:hAnsi="Arial" w:cs="Arial"/>
        </w:rPr>
        <w:t xml:space="preserve">. Available at: </w:t>
      </w:r>
      <w:hyperlink r:id="rId22" w:history="1">
        <w:r w:rsidR="003668D8" w:rsidRPr="00783CBD">
          <w:rPr>
            <w:rStyle w:val="Hyperlink"/>
            <w:rFonts w:ascii="Arial" w:hAnsi="Arial" w:cs="Arial"/>
          </w:rPr>
          <w:t>https://www.olympics.com/ioc/olympic-agenda-2020-plus-5</w:t>
        </w:r>
      </w:hyperlink>
      <w:r w:rsidR="003668D8">
        <w:rPr>
          <w:rFonts w:ascii="Arial" w:hAnsi="Arial" w:cs="Arial"/>
        </w:rPr>
        <w:t xml:space="preserve"> </w:t>
      </w:r>
      <w:r w:rsidRPr="00893AF2">
        <w:rPr>
          <w:rFonts w:ascii="Arial" w:hAnsi="Arial" w:cs="Arial"/>
        </w:rPr>
        <w:t xml:space="preserve"> Retrieved on: </w:t>
      </w:r>
      <w:r w:rsidR="005B5951">
        <w:rPr>
          <w:rFonts w:ascii="Arial" w:hAnsi="Arial" w:cs="Arial"/>
        </w:rPr>
        <w:t>13 March</w:t>
      </w:r>
      <w:r w:rsidRPr="00893AF2">
        <w:rPr>
          <w:rFonts w:ascii="Arial" w:hAnsi="Arial" w:cs="Arial"/>
        </w:rPr>
        <w:t xml:space="preserve"> 2026.</w:t>
      </w:r>
    </w:p>
    <w:p w14:paraId="11DAB10F" w14:textId="1F30EE0E" w:rsidR="001162D6" w:rsidRPr="00893AF2" w:rsidRDefault="00000000" w:rsidP="005D148D">
      <w:pPr>
        <w:spacing w:before="120" w:after="240" w:line="240" w:lineRule="auto"/>
        <w:rPr>
          <w:rFonts w:ascii="Arial" w:hAnsi="Arial" w:cs="Arial"/>
        </w:rPr>
      </w:pPr>
      <w:r w:rsidRPr="00893AF2">
        <w:rPr>
          <w:rFonts w:ascii="Arial" w:hAnsi="Arial" w:cs="Arial"/>
        </w:rPr>
        <w:t xml:space="preserve">International Olympic Committee. (2025). </w:t>
      </w:r>
      <w:r w:rsidRPr="00893AF2">
        <w:rPr>
          <w:rFonts w:ascii="Arial" w:hAnsi="Arial" w:cs="Arial"/>
          <w:i/>
        </w:rPr>
        <w:t>Olympic Charter</w:t>
      </w:r>
      <w:r w:rsidRPr="00893AF2">
        <w:rPr>
          <w:rFonts w:ascii="Arial" w:hAnsi="Arial" w:cs="Arial"/>
        </w:rPr>
        <w:t xml:space="preserve">. Available at: </w:t>
      </w:r>
      <w:hyperlink r:id="rId23" w:history="1">
        <w:r w:rsidRPr="003668D8">
          <w:rPr>
            <w:rStyle w:val="Hyperlink"/>
            <w:rFonts w:ascii="Arial" w:hAnsi="Arial" w:cs="Arial"/>
          </w:rPr>
          <w:t>https://stillmed.olympics.com/media/Document%20Library/OlympicOrg/General/EN-Olympic-Charter.pdf</w:t>
        </w:r>
      </w:hyperlink>
      <w:r w:rsidR="003668D8">
        <w:rPr>
          <w:rFonts w:ascii="Arial" w:hAnsi="Arial" w:cs="Arial"/>
        </w:rPr>
        <w:t xml:space="preserve"> </w:t>
      </w:r>
      <w:r w:rsidRPr="00893AF2">
        <w:rPr>
          <w:rFonts w:ascii="Arial" w:hAnsi="Arial" w:cs="Arial"/>
        </w:rPr>
        <w:t xml:space="preserve"> Retrieved on: </w:t>
      </w:r>
      <w:r w:rsidR="003668D8">
        <w:rPr>
          <w:rFonts w:ascii="Arial" w:hAnsi="Arial" w:cs="Arial"/>
        </w:rPr>
        <w:t>13 March</w:t>
      </w:r>
      <w:r w:rsidRPr="00893AF2">
        <w:rPr>
          <w:rFonts w:ascii="Arial" w:hAnsi="Arial" w:cs="Arial"/>
        </w:rPr>
        <w:t xml:space="preserve"> 2026.</w:t>
      </w:r>
    </w:p>
    <w:p w14:paraId="0DC74FF7" w14:textId="55F46A1A" w:rsidR="001162D6" w:rsidRPr="00893AF2" w:rsidRDefault="00000000" w:rsidP="005D148D">
      <w:pPr>
        <w:spacing w:before="120" w:after="240" w:line="240" w:lineRule="auto"/>
        <w:rPr>
          <w:rFonts w:ascii="Arial" w:hAnsi="Arial" w:cs="Arial"/>
        </w:rPr>
      </w:pPr>
      <w:r w:rsidRPr="00893AF2">
        <w:rPr>
          <w:rFonts w:ascii="Arial" w:hAnsi="Arial" w:cs="Arial"/>
        </w:rPr>
        <w:t xml:space="preserve">International Olympic Committee. (n.d.-a). </w:t>
      </w:r>
      <w:r w:rsidRPr="00893AF2">
        <w:rPr>
          <w:rFonts w:ascii="Arial" w:hAnsi="Arial" w:cs="Arial"/>
          <w:i/>
        </w:rPr>
        <w:t>IOC Code of Ethics</w:t>
      </w:r>
      <w:r w:rsidRPr="00893AF2">
        <w:rPr>
          <w:rFonts w:ascii="Arial" w:hAnsi="Arial" w:cs="Arial"/>
        </w:rPr>
        <w:t xml:space="preserve">. Available at: </w:t>
      </w:r>
      <w:hyperlink r:id="rId24" w:history="1">
        <w:r w:rsidR="003668D8" w:rsidRPr="00783CBD">
          <w:rPr>
            <w:rStyle w:val="Hyperlink"/>
            <w:rFonts w:ascii="Arial" w:hAnsi="Arial" w:cs="Arial"/>
          </w:rPr>
          <w:t>https://www.olympics.com/ioc/code-of-ethics</w:t>
        </w:r>
      </w:hyperlink>
      <w:r w:rsidR="003668D8">
        <w:rPr>
          <w:rFonts w:ascii="Arial" w:hAnsi="Arial" w:cs="Arial"/>
        </w:rPr>
        <w:t xml:space="preserve"> </w:t>
      </w:r>
      <w:r w:rsidRPr="00893AF2">
        <w:rPr>
          <w:rFonts w:ascii="Arial" w:hAnsi="Arial" w:cs="Arial"/>
        </w:rPr>
        <w:t xml:space="preserve"> Retrieved on: </w:t>
      </w:r>
      <w:r w:rsidR="003668D8">
        <w:rPr>
          <w:rFonts w:ascii="Arial" w:hAnsi="Arial" w:cs="Arial"/>
        </w:rPr>
        <w:t>13 March</w:t>
      </w:r>
      <w:r w:rsidRPr="00893AF2">
        <w:rPr>
          <w:rFonts w:ascii="Arial" w:hAnsi="Arial" w:cs="Arial"/>
        </w:rPr>
        <w:t xml:space="preserve"> 2026.</w:t>
      </w:r>
    </w:p>
    <w:p w14:paraId="32535D18" w14:textId="79CFBE09" w:rsidR="001162D6" w:rsidRPr="00893AF2" w:rsidRDefault="00000000" w:rsidP="005D148D">
      <w:pPr>
        <w:spacing w:before="120" w:after="240" w:line="240" w:lineRule="auto"/>
        <w:rPr>
          <w:rFonts w:ascii="Arial" w:hAnsi="Arial" w:cs="Arial"/>
        </w:rPr>
      </w:pPr>
      <w:r w:rsidRPr="00893AF2">
        <w:rPr>
          <w:rFonts w:ascii="Arial" w:hAnsi="Arial" w:cs="Arial"/>
        </w:rPr>
        <w:t xml:space="preserve">International Olympic Committee. (n.d.-b). </w:t>
      </w:r>
      <w:r w:rsidRPr="00893AF2">
        <w:rPr>
          <w:rFonts w:ascii="Arial" w:hAnsi="Arial" w:cs="Arial"/>
          <w:i/>
        </w:rPr>
        <w:t>IOC Ethics Commission</w:t>
      </w:r>
      <w:r w:rsidRPr="00893AF2">
        <w:rPr>
          <w:rFonts w:ascii="Arial" w:hAnsi="Arial" w:cs="Arial"/>
        </w:rPr>
        <w:t xml:space="preserve">. Available at: </w:t>
      </w:r>
      <w:hyperlink r:id="rId25" w:history="1">
        <w:r w:rsidR="003668D8" w:rsidRPr="00783CBD">
          <w:rPr>
            <w:rStyle w:val="Hyperlink"/>
            <w:rFonts w:ascii="Arial" w:hAnsi="Arial" w:cs="Arial"/>
          </w:rPr>
          <w:t>https://www.olympics.com/ioc/ethics-commission</w:t>
        </w:r>
      </w:hyperlink>
      <w:r w:rsidR="003668D8">
        <w:rPr>
          <w:rFonts w:ascii="Arial" w:hAnsi="Arial" w:cs="Arial"/>
        </w:rPr>
        <w:t xml:space="preserve"> </w:t>
      </w:r>
      <w:r w:rsidRPr="00893AF2">
        <w:rPr>
          <w:rFonts w:ascii="Arial" w:hAnsi="Arial" w:cs="Arial"/>
        </w:rPr>
        <w:t xml:space="preserve"> Retrieved on: </w:t>
      </w:r>
      <w:r w:rsidR="003668D8">
        <w:rPr>
          <w:rFonts w:ascii="Arial" w:hAnsi="Arial" w:cs="Arial"/>
        </w:rPr>
        <w:t>13 March</w:t>
      </w:r>
      <w:r w:rsidRPr="00893AF2">
        <w:rPr>
          <w:rFonts w:ascii="Arial" w:hAnsi="Arial" w:cs="Arial"/>
        </w:rPr>
        <w:t xml:space="preserve"> 2026.</w:t>
      </w:r>
    </w:p>
    <w:p w14:paraId="43273B8F" w14:textId="27BC48EF" w:rsidR="001162D6" w:rsidRDefault="00000000" w:rsidP="005D148D">
      <w:pPr>
        <w:spacing w:before="120" w:after="240" w:line="240" w:lineRule="auto"/>
        <w:rPr>
          <w:rFonts w:ascii="Arial" w:hAnsi="Arial" w:cs="Arial"/>
        </w:rPr>
      </w:pPr>
      <w:r w:rsidRPr="00893AF2">
        <w:rPr>
          <w:rFonts w:ascii="Arial" w:hAnsi="Arial" w:cs="Arial"/>
        </w:rPr>
        <w:t xml:space="preserve">Jensen, M. C., &amp; Meckling, W. H. (1976). Theory of the firm: Managerial behavior, agency costs and ownership structure. </w:t>
      </w:r>
      <w:r w:rsidRPr="00893AF2">
        <w:rPr>
          <w:rFonts w:ascii="Arial" w:hAnsi="Arial" w:cs="Arial"/>
          <w:i/>
        </w:rPr>
        <w:t>Journal of Financial Economics, 3</w:t>
      </w:r>
      <w:r w:rsidRPr="00893AF2">
        <w:rPr>
          <w:rFonts w:ascii="Arial" w:hAnsi="Arial" w:cs="Arial"/>
        </w:rPr>
        <w:t>(4), 305–360.</w:t>
      </w:r>
      <w:r w:rsidR="003668D8">
        <w:rPr>
          <w:rFonts w:ascii="Arial" w:hAnsi="Arial" w:cs="Arial"/>
        </w:rPr>
        <w:t xml:space="preserve"> </w:t>
      </w:r>
      <w:hyperlink r:id="rId26" w:history="1">
        <w:r w:rsidR="003668D8" w:rsidRPr="00783CBD">
          <w:rPr>
            <w:rStyle w:val="Hyperlink"/>
            <w:rFonts w:ascii="Arial" w:hAnsi="Arial" w:cs="Arial"/>
          </w:rPr>
          <w:t>https://doi.org/10.1016/0304-405X(76)90026-X</w:t>
        </w:r>
      </w:hyperlink>
      <w:r w:rsidR="003668D8">
        <w:rPr>
          <w:rFonts w:ascii="Arial" w:hAnsi="Arial" w:cs="Arial"/>
        </w:rPr>
        <w:t xml:space="preserve"> Retrieved 5 November 2025.</w:t>
      </w:r>
    </w:p>
    <w:p w14:paraId="2722F8BD" w14:textId="4AEDC9B4" w:rsidR="00AE3C63" w:rsidRPr="00893AF2" w:rsidRDefault="00AE3C63" w:rsidP="005D148D">
      <w:pPr>
        <w:spacing w:before="120" w:after="240" w:line="240" w:lineRule="auto"/>
        <w:rPr>
          <w:rFonts w:ascii="Arial" w:hAnsi="Arial" w:cs="Arial"/>
        </w:rPr>
      </w:pPr>
      <w:r w:rsidRPr="00AE3C63">
        <w:rPr>
          <w:rFonts w:ascii="Arial" w:hAnsi="Arial" w:cs="Arial"/>
        </w:rPr>
        <w:t xml:space="preserve">Jennings, A. (2011). Investigating corruption in corporate sport: The IOC and FIFA. </w:t>
      </w:r>
      <w:r w:rsidRPr="00AE3C63">
        <w:rPr>
          <w:rFonts w:ascii="Arial" w:hAnsi="Arial" w:cs="Arial"/>
          <w:i/>
          <w:iCs/>
        </w:rPr>
        <w:t>International Review for the Sociology of Sport, 46</w:t>
      </w:r>
      <w:r w:rsidRPr="00AE3C63">
        <w:rPr>
          <w:rFonts w:ascii="Arial" w:hAnsi="Arial" w:cs="Arial"/>
        </w:rPr>
        <w:t xml:space="preserve">(4), 387–398. Available at: SAGE Journals. Retrieved on </w:t>
      </w:r>
      <w:r w:rsidR="003668D8">
        <w:rPr>
          <w:rFonts w:ascii="Arial" w:hAnsi="Arial" w:cs="Arial"/>
        </w:rPr>
        <w:t>18 March</w:t>
      </w:r>
      <w:r w:rsidRPr="00AE3C63">
        <w:rPr>
          <w:rFonts w:ascii="Arial" w:hAnsi="Arial" w:cs="Arial"/>
        </w:rPr>
        <w:t xml:space="preserve"> 2026.</w:t>
      </w:r>
    </w:p>
    <w:p w14:paraId="5324AE9F" w14:textId="05B2C744" w:rsidR="001162D6" w:rsidRPr="00893AF2" w:rsidRDefault="00000000" w:rsidP="005D148D">
      <w:pPr>
        <w:spacing w:before="120" w:after="240" w:line="240" w:lineRule="auto"/>
        <w:rPr>
          <w:rFonts w:ascii="Arial" w:hAnsi="Arial" w:cs="Arial"/>
        </w:rPr>
      </w:pPr>
      <w:r w:rsidRPr="00893AF2">
        <w:rPr>
          <w:rFonts w:ascii="Arial" w:hAnsi="Arial" w:cs="Arial"/>
        </w:rPr>
        <w:t xml:space="preserve">Kenya National Assembly. (2016). </w:t>
      </w:r>
      <w:r w:rsidRPr="00893AF2">
        <w:rPr>
          <w:rFonts w:ascii="Arial" w:hAnsi="Arial" w:cs="Arial"/>
          <w:i/>
        </w:rPr>
        <w:t>Report on the Rio 2016 Olympic Games in Brazil and inquiry into alleged mismanagement of Team Kenya</w:t>
      </w:r>
      <w:r w:rsidRPr="00893AF2">
        <w:rPr>
          <w:rFonts w:ascii="Arial" w:hAnsi="Arial" w:cs="Arial"/>
        </w:rPr>
        <w:t xml:space="preserve">. Available at: </w:t>
      </w:r>
      <w:hyperlink r:id="rId27" w:history="1">
        <w:r w:rsidR="003668D8" w:rsidRPr="00783CBD">
          <w:rPr>
            <w:rStyle w:val="Hyperlink"/>
            <w:rFonts w:ascii="Arial" w:hAnsi="Arial" w:cs="Arial"/>
          </w:rPr>
          <w:t>https://libraryir.parliament.go.ke/items/e8f36301-b67e-4eb9-aeee-9a89e81ffb42</w:t>
        </w:r>
      </w:hyperlink>
      <w:r w:rsidR="003668D8">
        <w:rPr>
          <w:rFonts w:ascii="Arial" w:hAnsi="Arial" w:cs="Arial"/>
        </w:rPr>
        <w:t xml:space="preserve"> </w:t>
      </w:r>
      <w:r w:rsidRPr="00893AF2">
        <w:rPr>
          <w:rFonts w:ascii="Arial" w:hAnsi="Arial" w:cs="Arial"/>
        </w:rPr>
        <w:t xml:space="preserve">. </w:t>
      </w:r>
      <w:proofErr w:type="gramStart"/>
      <w:r w:rsidRPr="00893AF2">
        <w:rPr>
          <w:rFonts w:ascii="Arial" w:hAnsi="Arial" w:cs="Arial"/>
        </w:rPr>
        <w:t>Retrieved on</w:t>
      </w:r>
      <w:proofErr w:type="gramEnd"/>
      <w:r w:rsidRPr="00893AF2">
        <w:rPr>
          <w:rFonts w:ascii="Arial" w:hAnsi="Arial" w:cs="Arial"/>
        </w:rPr>
        <w:t xml:space="preserve">: </w:t>
      </w:r>
      <w:r w:rsidR="003668D8">
        <w:rPr>
          <w:rFonts w:ascii="Arial" w:hAnsi="Arial" w:cs="Arial"/>
        </w:rPr>
        <w:t>7</w:t>
      </w:r>
      <w:r w:rsidRPr="00893AF2">
        <w:rPr>
          <w:rFonts w:ascii="Arial" w:hAnsi="Arial" w:cs="Arial"/>
        </w:rPr>
        <w:t xml:space="preserve"> April 2026.</w:t>
      </w:r>
    </w:p>
    <w:p w14:paraId="414BE327" w14:textId="66CFBCEC" w:rsidR="001162D6" w:rsidRPr="00893AF2" w:rsidRDefault="00000000" w:rsidP="005D148D">
      <w:pPr>
        <w:spacing w:before="120" w:after="240" w:line="240" w:lineRule="auto"/>
        <w:rPr>
          <w:rFonts w:ascii="Arial" w:hAnsi="Arial" w:cs="Arial"/>
        </w:rPr>
      </w:pPr>
      <w:r w:rsidRPr="00893AF2">
        <w:rPr>
          <w:rFonts w:ascii="Arial" w:hAnsi="Arial" w:cs="Arial"/>
        </w:rPr>
        <w:t xml:space="preserve">McLaren, R. H. (2016). </w:t>
      </w:r>
      <w:r w:rsidRPr="00893AF2">
        <w:rPr>
          <w:rFonts w:ascii="Arial" w:hAnsi="Arial" w:cs="Arial"/>
          <w:i/>
        </w:rPr>
        <w:t>Independent person report, part II</w:t>
      </w:r>
      <w:r w:rsidRPr="00893AF2">
        <w:rPr>
          <w:rFonts w:ascii="Arial" w:hAnsi="Arial" w:cs="Arial"/>
        </w:rPr>
        <w:t xml:space="preserve">. World Anti-Doping Agency. Available at: </w:t>
      </w:r>
      <w:hyperlink r:id="rId28" w:history="1">
        <w:r w:rsidR="00E0309B" w:rsidRPr="00783CBD">
          <w:rPr>
            <w:rStyle w:val="Hyperlink"/>
            <w:rFonts w:ascii="Arial" w:hAnsi="Arial" w:cs="Arial"/>
          </w:rPr>
          <w:t>https://www.wada-ama.org/sites/default/files/resources/files/mclaren_report_part_ii_2.pdf</w:t>
        </w:r>
      </w:hyperlink>
      <w:r w:rsidR="00E0309B">
        <w:rPr>
          <w:rFonts w:ascii="Arial" w:hAnsi="Arial" w:cs="Arial"/>
        </w:rPr>
        <w:t xml:space="preserve"> </w:t>
      </w:r>
      <w:r w:rsidRPr="00893AF2">
        <w:rPr>
          <w:rFonts w:ascii="Arial" w:hAnsi="Arial" w:cs="Arial"/>
        </w:rPr>
        <w:t xml:space="preserve">. Retrieved on: </w:t>
      </w:r>
      <w:r w:rsidR="00E0309B">
        <w:rPr>
          <w:rFonts w:ascii="Arial" w:hAnsi="Arial" w:cs="Arial"/>
        </w:rPr>
        <w:t>14</w:t>
      </w:r>
      <w:r w:rsidRPr="00893AF2">
        <w:rPr>
          <w:rFonts w:ascii="Arial" w:hAnsi="Arial" w:cs="Arial"/>
        </w:rPr>
        <w:t xml:space="preserve"> April 2026.</w:t>
      </w:r>
    </w:p>
    <w:p w14:paraId="17561D65" w14:textId="5072E098" w:rsidR="001162D6" w:rsidRPr="00893AF2" w:rsidRDefault="00000000" w:rsidP="005D148D">
      <w:pPr>
        <w:spacing w:before="120" w:after="240" w:line="240" w:lineRule="auto"/>
        <w:rPr>
          <w:rFonts w:ascii="Arial" w:hAnsi="Arial" w:cs="Arial"/>
        </w:rPr>
      </w:pPr>
      <w:r w:rsidRPr="00893AF2">
        <w:rPr>
          <w:rFonts w:ascii="Arial" w:hAnsi="Arial" w:cs="Arial"/>
        </w:rPr>
        <w:t xml:space="preserve">Norwegian Olympic and Paralympic Committee and Confederation of Sports. (2021). </w:t>
      </w:r>
      <w:r w:rsidRPr="00893AF2">
        <w:rPr>
          <w:rFonts w:ascii="Arial" w:hAnsi="Arial" w:cs="Arial"/>
          <w:i/>
        </w:rPr>
        <w:t>Values worth fighting for: Norwegian sport’s international strategy to promote the values of sport and its role in society</w:t>
      </w:r>
      <w:r w:rsidRPr="00893AF2">
        <w:rPr>
          <w:rFonts w:ascii="Arial" w:hAnsi="Arial" w:cs="Arial"/>
        </w:rPr>
        <w:t xml:space="preserve">. Available at: </w:t>
      </w:r>
      <w:hyperlink r:id="rId29" w:history="1">
        <w:r w:rsidR="00E0309B" w:rsidRPr="00783CBD">
          <w:rPr>
            <w:rStyle w:val="Hyperlink"/>
            <w:rFonts w:ascii="Arial" w:hAnsi="Arial" w:cs="Arial"/>
          </w:rPr>
          <w:t>https://www.idrettsforbundet.no/contentassets/52616d37cfed44abad9da425e8e85465/2021-nif_norwegian-sports-international-strategy.pdf</w:t>
        </w:r>
      </w:hyperlink>
      <w:r w:rsidR="00E0309B">
        <w:rPr>
          <w:rFonts w:ascii="Arial" w:hAnsi="Arial" w:cs="Arial"/>
        </w:rPr>
        <w:t xml:space="preserve"> </w:t>
      </w:r>
      <w:r w:rsidRPr="00893AF2">
        <w:rPr>
          <w:rFonts w:ascii="Arial" w:hAnsi="Arial" w:cs="Arial"/>
        </w:rPr>
        <w:t xml:space="preserve">. </w:t>
      </w:r>
      <w:proofErr w:type="gramStart"/>
      <w:r w:rsidRPr="00893AF2">
        <w:rPr>
          <w:rFonts w:ascii="Arial" w:hAnsi="Arial" w:cs="Arial"/>
        </w:rPr>
        <w:t>Retrieved on</w:t>
      </w:r>
      <w:proofErr w:type="gramEnd"/>
      <w:r w:rsidRPr="00893AF2">
        <w:rPr>
          <w:rFonts w:ascii="Arial" w:hAnsi="Arial" w:cs="Arial"/>
        </w:rPr>
        <w:t xml:space="preserve">: </w:t>
      </w:r>
      <w:r w:rsidR="00E0309B">
        <w:rPr>
          <w:rFonts w:ascii="Arial" w:hAnsi="Arial" w:cs="Arial"/>
        </w:rPr>
        <w:t>11</w:t>
      </w:r>
      <w:r w:rsidRPr="00893AF2">
        <w:rPr>
          <w:rFonts w:ascii="Arial" w:hAnsi="Arial" w:cs="Arial"/>
        </w:rPr>
        <w:t xml:space="preserve"> April 2026.</w:t>
      </w:r>
    </w:p>
    <w:p w14:paraId="2955C719" w14:textId="0FFAE9D6" w:rsidR="00EA31BF" w:rsidRDefault="00EA31BF" w:rsidP="005D148D">
      <w:pPr>
        <w:spacing w:before="120" w:after="240" w:line="240" w:lineRule="auto"/>
        <w:rPr>
          <w:rFonts w:ascii="Arial" w:hAnsi="Arial" w:cs="Arial"/>
        </w:rPr>
      </w:pPr>
      <w:r w:rsidRPr="00EA31BF">
        <w:rPr>
          <w:rFonts w:ascii="Arial" w:hAnsi="Arial" w:cs="Arial"/>
        </w:rPr>
        <w:t xml:space="preserve">Richau, L., Emrich, E. and </w:t>
      </w:r>
      <w:proofErr w:type="spellStart"/>
      <w:r w:rsidRPr="00EA31BF">
        <w:rPr>
          <w:rFonts w:ascii="Arial" w:hAnsi="Arial" w:cs="Arial"/>
        </w:rPr>
        <w:t>Follert</w:t>
      </w:r>
      <w:proofErr w:type="spellEnd"/>
      <w:r w:rsidRPr="00EA31BF">
        <w:rPr>
          <w:rFonts w:ascii="Arial" w:hAnsi="Arial" w:cs="Arial"/>
        </w:rPr>
        <w:t>, F. (</w:t>
      </w:r>
      <w:r w:rsidRPr="00EA31BF">
        <w:rPr>
          <w:rFonts w:ascii="Arial" w:hAnsi="Arial" w:cs="Arial"/>
        </w:rPr>
        <w:t>2019)</w:t>
      </w:r>
      <w:r>
        <w:rPr>
          <w:rFonts w:ascii="Arial" w:hAnsi="Arial" w:cs="Arial"/>
        </w:rPr>
        <w:t>.</w:t>
      </w:r>
      <w:r w:rsidRPr="00EA31BF">
        <w:rPr>
          <w:rFonts w:ascii="Arial" w:hAnsi="Arial" w:cs="Arial"/>
        </w:rPr>
        <w:t xml:space="preserve"> </w:t>
      </w:r>
      <w:r w:rsidRPr="00EA31BF">
        <w:rPr>
          <w:rFonts w:ascii="Arial" w:hAnsi="Arial" w:cs="Arial"/>
        </w:rPr>
        <w:t xml:space="preserve">Quid pro quo! Organization theoretical remarks about FIFA’s legitimacy under Blatter and Infantino, </w:t>
      </w:r>
      <w:r w:rsidRPr="00EA31BF">
        <w:rPr>
          <w:rFonts w:ascii="Arial" w:hAnsi="Arial" w:cs="Arial"/>
          <w:i/>
          <w:iCs/>
        </w:rPr>
        <w:t>The Economists’ Voice</w:t>
      </w:r>
      <w:r w:rsidRPr="00EA31BF">
        <w:rPr>
          <w:rFonts w:ascii="Arial" w:hAnsi="Arial" w:cs="Arial"/>
        </w:rPr>
        <w:t xml:space="preserve">, 16(1). </w:t>
      </w:r>
      <w:r>
        <w:rPr>
          <w:rFonts w:ascii="Arial" w:hAnsi="Arial" w:cs="Arial"/>
        </w:rPr>
        <w:t xml:space="preserve">Available at </w:t>
      </w:r>
      <w:hyperlink r:id="rId30" w:history="1">
        <w:r w:rsidRPr="00783CBD">
          <w:rPr>
            <w:rStyle w:val="Hyperlink"/>
            <w:rFonts w:ascii="Arial" w:hAnsi="Arial" w:cs="Arial"/>
          </w:rPr>
          <w:t>https://www.degruyterbrill.com/document/doi/10.1515/ev-2019-</w:t>
        </w:r>
        <w:r w:rsidRPr="00783CBD">
          <w:rPr>
            <w:rStyle w:val="Hyperlink"/>
            <w:rFonts w:ascii="Arial" w:hAnsi="Arial" w:cs="Arial"/>
          </w:rPr>
          <w:lastRenderedPageBreak/>
          <w:t>0014/html?srsltid=AfmBOop1toNsrr2Z_IJq</w:t>
        </w:r>
        <w:r w:rsidRPr="00783CBD">
          <w:rPr>
            <w:rStyle w:val="Hyperlink"/>
            <w:rFonts w:ascii="Arial" w:hAnsi="Arial" w:cs="Arial"/>
          </w:rPr>
          <w:t>-</w:t>
        </w:r>
        <w:r w:rsidRPr="00783CBD">
          <w:rPr>
            <w:rStyle w:val="Hyperlink"/>
            <w:rFonts w:ascii="Arial" w:hAnsi="Arial" w:cs="Arial"/>
          </w:rPr>
          <w:t>HeY7Z9tzYdLr8abBPNkTzAP3pThQu6nXYGf</w:t>
        </w:r>
      </w:hyperlink>
      <w:r>
        <w:rPr>
          <w:rFonts w:ascii="Arial" w:hAnsi="Arial" w:cs="Arial"/>
        </w:rPr>
        <w:t xml:space="preserve"> Retrieved 13 February 2026/</w:t>
      </w:r>
    </w:p>
    <w:p w14:paraId="5DB27771" w14:textId="30C8FB19" w:rsidR="001162D6" w:rsidRPr="00893AF2" w:rsidRDefault="00000000" w:rsidP="005D148D">
      <w:pPr>
        <w:spacing w:before="120" w:after="240" w:line="240" w:lineRule="auto"/>
        <w:rPr>
          <w:rFonts w:ascii="Arial" w:hAnsi="Arial" w:cs="Arial"/>
        </w:rPr>
      </w:pPr>
      <w:proofErr w:type="spellStart"/>
      <w:r w:rsidRPr="00893AF2">
        <w:rPr>
          <w:rFonts w:ascii="Arial" w:hAnsi="Arial" w:cs="Arial"/>
        </w:rPr>
        <w:t>Shilbury</w:t>
      </w:r>
      <w:proofErr w:type="spellEnd"/>
      <w:r w:rsidRPr="00893AF2">
        <w:rPr>
          <w:rFonts w:ascii="Arial" w:hAnsi="Arial" w:cs="Arial"/>
        </w:rPr>
        <w:t xml:space="preserve">, D., &amp; </w:t>
      </w:r>
      <w:proofErr w:type="spellStart"/>
      <w:r w:rsidRPr="00893AF2">
        <w:rPr>
          <w:rFonts w:ascii="Arial" w:hAnsi="Arial" w:cs="Arial"/>
        </w:rPr>
        <w:t>Ferkins</w:t>
      </w:r>
      <w:proofErr w:type="spellEnd"/>
      <w:r w:rsidRPr="00893AF2">
        <w:rPr>
          <w:rFonts w:ascii="Arial" w:hAnsi="Arial" w:cs="Arial"/>
        </w:rPr>
        <w:t xml:space="preserve">, L. (2011). Professionalisation, sport governance and strategic capability. </w:t>
      </w:r>
      <w:r w:rsidRPr="00893AF2">
        <w:rPr>
          <w:rFonts w:ascii="Arial" w:hAnsi="Arial" w:cs="Arial"/>
          <w:i/>
        </w:rPr>
        <w:t>Managing Leisure, 16</w:t>
      </w:r>
      <w:r w:rsidRPr="00893AF2">
        <w:rPr>
          <w:rFonts w:ascii="Arial" w:hAnsi="Arial" w:cs="Arial"/>
        </w:rPr>
        <w:t>(2), 108–127.</w:t>
      </w:r>
      <w:r w:rsidR="00E0309B">
        <w:rPr>
          <w:rFonts w:ascii="Arial" w:hAnsi="Arial" w:cs="Arial"/>
        </w:rPr>
        <w:t xml:space="preserve"> Available at </w:t>
      </w:r>
      <w:hyperlink r:id="rId31" w:history="1">
        <w:r w:rsidR="00E0309B" w:rsidRPr="00783CBD">
          <w:rPr>
            <w:rStyle w:val="Hyperlink"/>
            <w:rFonts w:ascii="Arial" w:hAnsi="Arial" w:cs="Arial"/>
          </w:rPr>
          <w:t>https://doi.org/10.1080/13606719.2011.559090</w:t>
        </w:r>
      </w:hyperlink>
      <w:r w:rsidR="00E0309B">
        <w:rPr>
          <w:rFonts w:ascii="Arial" w:hAnsi="Arial" w:cs="Arial"/>
        </w:rPr>
        <w:t xml:space="preserve"> Retrieved on: 13 December 2025.</w:t>
      </w:r>
    </w:p>
    <w:sectPr w:rsidR="001162D6" w:rsidRPr="00893AF2" w:rsidSect="00034616">
      <w:headerReference w:type="default" r:id="rId32"/>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A6A0B" w14:textId="77777777" w:rsidR="00693FD6" w:rsidRDefault="00693FD6">
      <w:pPr>
        <w:spacing w:line="240" w:lineRule="auto"/>
      </w:pPr>
      <w:r>
        <w:separator/>
      </w:r>
    </w:p>
  </w:endnote>
  <w:endnote w:type="continuationSeparator" w:id="0">
    <w:p w14:paraId="1A9C022C" w14:textId="77777777" w:rsidR="00693FD6" w:rsidRDefault="00693F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C574E8" w14:textId="77777777" w:rsidR="00693FD6" w:rsidRDefault="00693FD6">
      <w:pPr>
        <w:spacing w:line="240" w:lineRule="auto"/>
      </w:pPr>
      <w:r>
        <w:separator/>
      </w:r>
    </w:p>
  </w:footnote>
  <w:footnote w:type="continuationSeparator" w:id="0">
    <w:p w14:paraId="7224A96E" w14:textId="77777777" w:rsidR="00693FD6" w:rsidRDefault="00693FD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8F8A6" w14:textId="77777777" w:rsidR="001162D6" w:rsidRDefault="00000000">
    <w:pPr>
      <w:jc w:val="right"/>
    </w:pPr>
    <w:r>
      <w:fldChar w:fldCharType="begin"/>
    </w:r>
    <w:r>
      <w:instrText>PAGE</w:instrText>
    </w:r>
    <w:r w:rsidR="00893AF2">
      <w:fldChar w:fldCharType="separate"/>
    </w:r>
    <w:r w:rsidR="00893AF2">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94706015">
    <w:abstractNumId w:val="8"/>
  </w:num>
  <w:num w:numId="2" w16cid:durableId="1549410964">
    <w:abstractNumId w:val="6"/>
  </w:num>
  <w:num w:numId="3" w16cid:durableId="152257356">
    <w:abstractNumId w:val="5"/>
  </w:num>
  <w:num w:numId="4" w16cid:durableId="1835686053">
    <w:abstractNumId w:val="4"/>
  </w:num>
  <w:num w:numId="5" w16cid:durableId="1015693488">
    <w:abstractNumId w:val="7"/>
  </w:num>
  <w:num w:numId="6" w16cid:durableId="300310176">
    <w:abstractNumId w:val="3"/>
  </w:num>
  <w:num w:numId="7" w16cid:durableId="600601337">
    <w:abstractNumId w:val="2"/>
  </w:num>
  <w:num w:numId="8" w16cid:durableId="973145273">
    <w:abstractNumId w:val="1"/>
  </w:num>
  <w:num w:numId="9" w16cid:durableId="449782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36B9"/>
    <w:rsid w:val="001162D6"/>
    <w:rsid w:val="0015074B"/>
    <w:rsid w:val="0029639D"/>
    <w:rsid w:val="00326F90"/>
    <w:rsid w:val="003668D8"/>
    <w:rsid w:val="00500016"/>
    <w:rsid w:val="005B5951"/>
    <w:rsid w:val="005D148D"/>
    <w:rsid w:val="00693FD6"/>
    <w:rsid w:val="00791087"/>
    <w:rsid w:val="007A3F8E"/>
    <w:rsid w:val="00893AF2"/>
    <w:rsid w:val="00A25983"/>
    <w:rsid w:val="00AA1D8D"/>
    <w:rsid w:val="00AE3C63"/>
    <w:rsid w:val="00B47730"/>
    <w:rsid w:val="00BE55F8"/>
    <w:rsid w:val="00CB0664"/>
    <w:rsid w:val="00E0309B"/>
    <w:rsid w:val="00E17B5A"/>
    <w:rsid w:val="00EA31BF"/>
    <w:rsid w:val="00EC4100"/>
    <w:rsid w:val="00F65EE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74CDC0"/>
  <w14:defaultImageDpi w14:val="300"/>
  <w15:docId w15:val="{77C04BDE-7E7E-46C1-8743-3E8331208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0" w:line="480" w:lineRule="auto"/>
    </w:pPr>
    <w:rPr>
      <w:rFonts w:ascii="Times New Roman" w:eastAsia="Times New Roman" w:hAnsi="Times New Roman"/>
      <w:sz w:val="24"/>
    </w:rPr>
  </w:style>
  <w:style w:type="paragraph" w:styleId="Heading1">
    <w:name w:val="heading 1"/>
    <w:basedOn w:val="Normal"/>
    <w:next w:val="Normal"/>
    <w:link w:val="Heading1Ch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CustomTitle">
    <w:name w:val="Custom Title"/>
    <w:basedOn w:val="Normal"/>
    <w:pPr>
      <w:jc w:val="center"/>
    </w:pPr>
    <w:rPr>
      <w:b/>
      <w:sz w:val="32"/>
    </w:rPr>
  </w:style>
  <w:style w:type="paragraph" w:customStyle="1" w:styleId="APAHeading1">
    <w:name w:val="APA Heading 1"/>
    <w:basedOn w:val="Normal"/>
    <w:pPr>
      <w:jc w:val="center"/>
    </w:pPr>
    <w:rPr>
      <w:b/>
    </w:rPr>
  </w:style>
  <w:style w:type="paragraph" w:customStyle="1" w:styleId="ReferenceEntry">
    <w:name w:val="Reference Entry"/>
    <w:basedOn w:val="Normal"/>
  </w:style>
  <w:style w:type="character" w:styleId="Hyperlink">
    <w:name w:val="Hyperlink"/>
    <w:basedOn w:val="DefaultParagraphFont"/>
    <w:uiPriority w:val="99"/>
    <w:unhideWhenUsed/>
    <w:rsid w:val="005D148D"/>
    <w:rPr>
      <w:color w:val="0000FF" w:themeColor="hyperlink"/>
      <w:u w:val="single"/>
    </w:rPr>
  </w:style>
  <w:style w:type="character" w:styleId="UnresolvedMention">
    <w:name w:val="Unresolved Mention"/>
    <w:basedOn w:val="DefaultParagraphFont"/>
    <w:uiPriority w:val="99"/>
    <w:semiHidden/>
    <w:unhideWhenUsed/>
    <w:rsid w:val="005D14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2307/258191" TargetMode="External"/><Relationship Id="rId18" Type="http://schemas.openxmlformats.org/officeDocument/2006/relationships/hyperlink" Target="https://www.playthegame.org/publications/sports-governance-observer-2015-the-legitimacy-crisis-in-international-sports-governance/" TargetMode="External"/><Relationship Id="rId26" Type="http://schemas.openxmlformats.org/officeDocument/2006/relationships/hyperlink" Target="https://doi.org/10.1016/0304-405X(76)90026-X" TargetMode="External"/><Relationship Id="rId3" Type="http://schemas.openxmlformats.org/officeDocument/2006/relationships/styles" Target="styles.xml"/><Relationship Id="rId21" Type="http://schemas.openxmlformats.org/officeDocument/2006/relationships/hyperlink" Target="https://www.olympics.com/ioc/olympic-agenda-2020"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oi.org/10.1177/031289629101600103" TargetMode="External"/><Relationship Id="rId17" Type="http://schemas.openxmlformats.org/officeDocument/2006/relationships/hyperlink" Target="http://www.playthegame.org/media/ygyf4r51/sports-governance-observer-2018-international.pdf" TargetMode="External"/><Relationship Id="rId25" Type="http://schemas.openxmlformats.org/officeDocument/2006/relationships/hyperlink" Target="https://www.olympics.com/ioc/ethics-commission"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4324/9781003172833" TargetMode="External"/><Relationship Id="rId20" Type="http://schemas.openxmlformats.org/officeDocument/2006/relationships/hyperlink" Target="https://doi.org/10.4324/9780080466965" TargetMode="External"/><Relationship Id="rId29" Type="http://schemas.openxmlformats.org/officeDocument/2006/relationships/hyperlink" Target="https://www.idrettsforbundet.no/contentassets/52616d37cfed44abad9da425e8e85465/2021-nif_norwegian-sports-international-strategy.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1/j.1467-8292.2004.00241.x)" TargetMode="External"/><Relationship Id="rId24" Type="http://schemas.openxmlformats.org/officeDocument/2006/relationships/hyperlink" Target="https://www.olympics.com/ioc/code-of-ethics"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doi.org/10.1016/j.smr.2014.12.002" TargetMode="External"/><Relationship Id="rId23" Type="http://schemas.openxmlformats.org/officeDocument/2006/relationships/hyperlink" Target="https://www.olympics.com/ioc/olympic-charter" TargetMode="External"/><Relationship Id="rId28" Type="http://schemas.openxmlformats.org/officeDocument/2006/relationships/hyperlink" Target="https://www.wada-ama.org/sites/default/files/resources/files/mclaren_report_part_ii_2.pdf" TargetMode="External"/><Relationship Id="rId10" Type="http://schemas.openxmlformats.org/officeDocument/2006/relationships/hyperlink" Target="https://doi.org/10.1080/24704067.2021.1899767" TargetMode="External"/><Relationship Id="rId19" Type="http://schemas.openxmlformats.org/officeDocument/2006/relationships/hyperlink" Target="https://doi.org/10.1080/19406940.2013.825874" TargetMode="External"/><Relationship Id="rId31" Type="http://schemas.openxmlformats.org/officeDocument/2006/relationships/hyperlink" Target="https://doi.org/10.1080/13606719.2011.559090" TargetMode="External"/><Relationship Id="rId4" Type="http://schemas.openxmlformats.org/officeDocument/2006/relationships/settings" Target="settings.xml"/><Relationship Id="rId9" Type="http://schemas.openxmlformats.org/officeDocument/2006/relationships/hyperlink" Target="https://content.olympics.com.au/public/2019-09/AOC%20Constitution%202019.pdf" TargetMode="External"/><Relationship Id="rId14" Type="http://schemas.openxmlformats.org/officeDocument/2006/relationships/hyperlink" Target="https://doi.org/10.1123/jsm.26.1.67" TargetMode="External"/><Relationship Id="rId22" Type="http://schemas.openxmlformats.org/officeDocument/2006/relationships/hyperlink" Target="https://www.olympics.com/ioc/olympic-agenda-2020-plus-5" TargetMode="External"/><Relationship Id="rId27" Type="http://schemas.openxmlformats.org/officeDocument/2006/relationships/hyperlink" Target="https://libraryir.parliament.go.ke/items/e8f36301-b67e-4eb9-aeee-9a89e81ffb42" TargetMode="External"/><Relationship Id="rId30" Type="http://schemas.openxmlformats.org/officeDocument/2006/relationships/hyperlink" Target="https://www.degruyterbrill.com/document/doi/10.1515/ev-2019-0014/html?srsltid=AfmBOop1toNsrr2Z_IJq-HeY7Z9tzYdLr8abBPNkTzAP3pThQu6nXYGf" TargetMode="External"/><Relationship Id="rId8" Type="http://schemas.openxmlformats.org/officeDocument/2006/relationships/hyperlink" Target="https://content.olympics.com.au/public/2024-04/2023%20AOC%20Annual%20Repor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16</Pages>
  <Words>3590</Words>
  <Characters>24166</Characters>
  <Application>Microsoft Office Word</Application>
  <DocSecurity>0</DocSecurity>
  <Lines>371</Lines>
  <Paragraphs>85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27671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Brian Minikin</cp:lastModifiedBy>
  <cp:revision>5</cp:revision>
  <dcterms:created xsi:type="dcterms:W3CDTF">2026-04-20T06:35:00Z</dcterms:created>
  <dcterms:modified xsi:type="dcterms:W3CDTF">2026-04-20T08:46:00Z</dcterms:modified>
  <cp:category/>
</cp:coreProperties>
</file>